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00" w:lineRule="exact"/>
        <w:rPr>
          <w:rFonts w:ascii="黑体" w:eastAsia="黑体"/>
          <w:sz w:val="28"/>
          <w:szCs w:val="28"/>
        </w:rPr>
      </w:pPr>
      <w:bookmarkStart w:id="0" w:name="OLE_LINK1"/>
      <w:r>
        <w:rPr>
          <w:rFonts w:hint="eastAsia" w:ascii="黑体" w:eastAsia="黑体"/>
          <w:spacing w:val="46"/>
          <w:kern w:val="0"/>
          <w:sz w:val="28"/>
          <w:szCs w:val="28"/>
        </w:rPr>
        <w:t>丰宁满族自治县第九</w:t>
      </w:r>
      <w:r>
        <w:rPr>
          <w:rFonts w:hint="eastAsia" w:ascii="黑体" w:eastAsia="黑体"/>
          <w:spacing w:val="6"/>
          <w:kern w:val="0"/>
          <w:sz w:val="28"/>
          <w:szCs w:val="28"/>
        </w:rPr>
        <w:t>届</w:t>
      </w:r>
    </w:p>
    <w:p>
      <w:pPr>
        <w:spacing w:line="400" w:lineRule="exact"/>
        <w:rPr>
          <w:rFonts w:ascii="黑体" w:eastAsia="黑体"/>
          <w:sz w:val="28"/>
          <w:szCs w:val="28"/>
        </w:rPr>
      </w:pPr>
      <w:r>
        <w:rPr>
          <w:rFonts w:hint="eastAsia" w:ascii="黑体" w:eastAsia="黑体"/>
          <w:sz w:val="28"/>
          <w:szCs w:val="28"/>
        </w:rPr>
        <w:t>人民代表大会第</w:t>
      </w:r>
      <w:r>
        <w:rPr>
          <w:rFonts w:hint="eastAsia" w:ascii="黑体" w:eastAsia="黑体"/>
          <w:sz w:val="28"/>
          <w:szCs w:val="28"/>
          <w:lang w:eastAsia="zh-CN"/>
        </w:rPr>
        <w:t>五</w:t>
      </w:r>
      <w:r>
        <w:rPr>
          <w:rFonts w:hint="eastAsia" w:ascii="黑体" w:eastAsia="黑体"/>
          <w:sz w:val="28"/>
          <w:szCs w:val="28"/>
        </w:rPr>
        <w:t>次会议材料</w:t>
      </w:r>
    </w:p>
    <w:p>
      <w:pPr>
        <w:spacing w:line="400" w:lineRule="exact"/>
        <w:rPr>
          <w:rFonts w:ascii="黑体" w:eastAsia="黑体"/>
          <w:kern w:val="0"/>
          <w:sz w:val="28"/>
          <w:szCs w:val="28"/>
        </w:rPr>
      </w:pPr>
    </w:p>
    <w:p>
      <w:pPr>
        <w:pStyle w:val="3"/>
        <w:spacing w:after="0" w:line="580" w:lineRule="exact"/>
      </w:pPr>
    </w:p>
    <w:p/>
    <w:p>
      <w:pPr>
        <w:pStyle w:val="5"/>
        <w:ind w:left="31680"/>
      </w:pPr>
    </w:p>
    <w:p>
      <w:pPr>
        <w:spacing w:line="700" w:lineRule="exact"/>
        <w:jc w:val="center"/>
        <w:rPr>
          <w:rFonts w:ascii="方正小标宋简体" w:hAnsi="华文中宋" w:eastAsia="方正小标宋简体"/>
          <w:bCs/>
          <w:sz w:val="44"/>
          <w:szCs w:val="44"/>
        </w:rPr>
      </w:pPr>
      <w:r>
        <w:rPr>
          <w:rFonts w:hint="eastAsia" w:ascii="方正小标宋简体" w:hAnsi="华文中宋" w:eastAsia="方正小标宋简体"/>
          <w:bCs/>
          <w:sz w:val="44"/>
          <w:szCs w:val="44"/>
        </w:rPr>
        <w:t>关于丰宁满族自治县</w:t>
      </w:r>
      <w:r>
        <w:rPr>
          <w:rFonts w:ascii="方正小标宋简体" w:hAnsi="华文中宋" w:eastAsia="方正小标宋简体"/>
          <w:bCs/>
          <w:sz w:val="44"/>
          <w:szCs w:val="44"/>
        </w:rPr>
        <w:t>202</w:t>
      </w:r>
      <w:r>
        <w:rPr>
          <w:rFonts w:hint="eastAsia" w:ascii="方正小标宋简体" w:hAnsi="华文中宋" w:eastAsia="方正小标宋简体"/>
          <w:bCs/>
          <w:sz w:val="44"/>
          <w:szCs w:val="44"/>
          <w:lang w:val="en-US" w:eastAsia="zh-CN"/>
        </w:rPr>
        <w:t>4</w:t>
      </w:r>
      <w:r>
        <w:rPr>
          <w:rFonts w:hint="eastAsia" w:ascii="方正小标宋简体" w:hAnsi="华文中宋" w:eastAsia="方正小标宋简体"/>
          <w:bCs/>
          <w:sz w:val="44"/>
          <w:szCs w:val="44"/>
        </w:rPr>
        <w:t>年</w:t>
      </w:r>
    </w:p>
    <w:p>
      <w:pPr>
        <w:spacing w:line="700" w:lineRule="exact"/>
        <w:jc w:val="center"/>
        <w:rPr>
          <w:rFonts w:ascii="方正小标宋简体" w:hAnsi="华文中宋" w:eastAsia="方正小标宋简体"/>
          <w:bCs/>
          <w:sz w:val="44"/>
          <w:szCs w:val="44"/>
        </w:rPr>
      </w:pPr>
      <w:r>
        <w:rPr>
          <w:rFonts w:hint="eastAsia" w:ascii="方正小标宋简体" w:hAnsi="华文中宋" w:eastAsia="方正小标宋简体"/>
          <w:bCs/>
          <w:sz w:val="44"/>
          <w:szCs w:val="44"/>
        </w:rPr>
        <w:t>县本级预算和县总预算执行情况及</w:t>
      </w:r>
    </w:p>
    <w:p>
      <w:pPr>
        <w:spacing w:line="700" w:lineRule="exact"/>
        <w:jc w:val="center"/>
        <w:rPr>
          <w:rFonts w:hint="eastAsia" w:ascii="方正小标宋简体" w:hAnsi="华文中宋" w:eastAsia="方正小标宋简体"/>
          <w:bCs/>
          <w:sz w:val="44"/>
          <w:szCs w:val="44"/>
          <w:lang w:eastAsia="zh-CN"/>
        </w:rPr>
      </w:pPr>
      <w:r>
        <w:rPr>
          <w:rFonts w:ascii="方正小标宋简体" w:hAnsi="华文中宋" w:eastAsia="方正小标宋简体"/>
          <w:bCs/>
          <w:sz w:val="44"/>
          <w:szCs w:val="44"/>
        </w:rPr>
        <w:t>202</w:t>
      </w:r>
      <w:r>
        <w:rPr>
          <w:rFonts w:hint="eastAsia" w:ascii="方正小标宋简体" w:hAnsi="华文中宋" w:eastAsia="方正小标宋简体"/>
          <w:bCs/>
          <w:sz w:val="44"/>
          <w:szCs w:val="44"/>
          <w:lang w:val="en-US" w:eastAsia="zh-CN"/>
        </w:rPr>
        <w:t>5</w:t>
      </w:r>
      <w:r>
        <w:rPr>
          <w:rFonts w:hint="eastAsia" w:ascii="方正小标宋简体" w:hAnsi="华文中宋" w:eastAsia="方正小标宋简体"/>
          <w:bCs/>
          <w:sz w:val="44"/>
          <w:szCs w:val="44"/>
        </w:rPr>
        <w:t>年县本级预算和县总预算草案</w:t>
      </w:r>
      <w:r>
        <w:rPr>
          <w:rFonts w:hint="eastAsia" w:ascii="方正小标宋简体" w:hAnsi="华文中宋" w:eastAsia="方正小标宋简体"/>
          <w:bCs/>
          <w:sz w:val="44"/>
          <w:szCs w:val="44"/>
          <w:lang w:eastAsia="zh-CN"/>
        </w:rPr>
        <w:t>的</w:t>
      </w:r>
    </w:p>
    <w:p>
      <w:pPr>
        <w:spacing w:line="700" w:lineRule="exact"/>
        <w:jc w:val="center"/>
        <w:rPr>
          <w:rFonts w:hint="eastAsia" w:ascii="方正小标宋简体" w:hAnsi="华文中宋" w:eastAsia="方正小标宋简体"/>
          <w:bCs/>
          <w:sz w:val="44"/>
          <w:szCs w:val="44"/>
          <w:lang w:eastAsia="zh-CN"/>
        </w:rPr>
      </w:pPr>
      <w:r>
        <w:rPr>
          <w:rFonts w:hint="eastAsia" w:ascii="方正小标宋简体" w:hAnsi="华文中宋" w:eastAsia="方正小标宋简体"/>
          <w:bCs/>
          <w:sz w:val="44"/>
          <w:szCs w:val="44"/>
          <w:lang w:eastAsia="zh-CN"/>
        </w:rPr>
        <w:t>报告（书面）</w:t>
      </w:r>
    </w:p>
    <w:p>
      <w:pPr>
        <w:spacing w:line="700" w:lineRule="exact"/>
        <w:jc w:val="center"/>
        <w:rPr>
          <w:rFonts w:ascii="华文中宋" w:hAnsi="华文中宋" w:eastAsia="华文中宋"/>
          <w:b/>
          <w:sz w:val="48"/>
          <w:szCs w:val="48"/>
        </w:rPr>
      </w:pPr>
    </w:p>
    <w:p>
      <w:pPr>
        <w:jc w:val="center"/>
        <w:rPr>
          <w:rFonts w:ascii="楷体" w:hAnsi="楷体" w:eastAsia="楷体"/>
          <w:sz w:val="32"/>
          <w:szCs w:val="32"/>
        </w:rPr>
      </w:pPr>
      <w:r>
        <w:rPr>
          <w:rFonts w:ascii="楷体" w:hAnsi="楷体" w:eastAsia="楷体"/>
          <w:sz w:val="32"/>
          <w:szCs w:val="32"/>
        </w:rPr>
        <w:t>——202</w:t>
      </w:r>
      <w:r>
        <w:rPr>
          <w:rFonts w:hint="eastAsia" w:ascii="楷体" w:hAnsi="楷体" w:eastAsia="楷体"/>
          <w:sz w:val="32"/>
          <w:szCs w:val="32"/>
          <w:lang w:val="en-US" w:eastAsia="zh-CN"/>
        </w:rPr>
        <w:t>5</w:t>
      </w:r>
      <w:r>
        <w:rPr>
          <w:rFonts w:hint="eastAsia" w:ascii="楷体" w:hAnsi="楷体" w:eastAsia="楷体"/>
          <w:sz w:val="32"/>
          <w:szCs w:val="32"/>
        </w:rPr>
        <w:t>年</w:t>
      </w:r>
      <w:r>
        <w:rPr>
          <w:rFonts w:ascii="楷体" w:hAnsi="楷体" w:eastAsia="楷体"/>
          <w:sz w:val="32"/>
          <w:szCs w:val="32"/>
        </w:rPr>
        <w:t>1</w:t>
      </w:r>
      <w:r>
        <w:rPr>
          <w:rFonts w:hint="eastAsia" w:ascii="楷体" w:hAnsi="楷体" w:eastAsia="楷体"/>
          <w:sz w:val="32"/>
          <w:szCs w:val="32"/>
        </w:rPr>
        <w:t>月</w:t>
      </w:r>
      <w:r>
        <w:rPr>
          <w:rFonts w:hint="eastAsia" w:ascii="楷体" w:hAnsi="楷体" w:eastAsia="楷体"/>
          <w:sz w:val="32"/>
          <w:szCs w:val="32"/>
          <w:lang w:val="en-US" w:eastAsia="zh-CN"/>
        </w:rPr>
        <w:t>14</w:t>
      </w:r>
      <w:r>
        <w:rPr>
          <w:rFonts w:hint="eastAsia" w:ascii="楷体" w:hAnsi="楷体" w:eastAsia="楷体"/>
          <w:sz w:val="32"/>
          <w:szCs w:val="32"/>
        </w:rPr>
        <w:t>日在丰宁满族自治县第九届</w:t>
      </w:r>
    </w:p>
    <w:p>
      <w:pPr>
        <w:jc w:val="center"/>
        <w:rPr>
          <w:rFonts w:ascii="楷体" w:hAnsi="楷体" w:eastAsia="楷体"/>
          <w:sz w:val="32"/>
          <w:szCs w:val="32"/>
        </w:rPr>
      </w:pPr>
      <w:r>
        <w:rPr>
          <w:rFonts w:hint="eastAsia" w:ascii="楷体" w:hAnsi="楷体" w:eastAsia="楷体"/>
          <w:sz w:val="32"/>
          <w:szCs w:val="32"/>
        </w:rPr>
        <w:t>人民代表大会第</w:t>
      </w:r>
      <w:r>
        <w:rPr>
          <w:rFonts w:hint="eastAsia" w:ascii="楷体" w:hAnsi="楷体" w:eastAsia="楷体"/>
          <w:sz w:val="32"/>
          <w:szCs w:val="32"/>
          <w:lang w:val="en-US" w:eastAsia="zh-CN"/>
        </w:rPr>
        <w:t>五</w:t>
      </w:r>
      <w:r>
        <w:rPr>
          <w:rFonts w:hint="eastAsia" w:ascii="楷体" w:hAnsi="楷体" w:eastAsia="楷体"/>
          <w:sz w:val="32"/>
          <w:szCs w:val="32"/>
        </w:rPr>
        <w:t>次会议上</w:t>
      </w:r>
    </w:p>
    <w:p>
      <w:pPr>
        <w:jc w:val="center"/>
        <w:rPr>
          <w:rFonts w:ascii="楷体_GB2312" w:hAnsi="宋体" w:eastAsia="楷体_GB2312"/>
          <w:sz w:val="32"/>
          <w:szCs w:val="32"/>
        </w:rPr>
      </w:pPr>
    </w:p>
    <w:p>
      <w:pPr>
        <w:jc w:val="center"/>
        <w:rPr>
          <w:rFonts w:hint="eastAsia" w:ascii="楷体" w:hAnsi="楷体" w:eastAsia="楷体"/>
          <w:sz w:val="32"/>
          <w:szCs w:val="32"/>
          <w:lang w:val="en-US" w:eastAsia="zh-CN"/>
        </w:rPr>
      </w:pPr>
      <w:r>
        <w:rPr>
          <w:rFonts w:hint="eastAsia" w:ascii="楷体" w:hAnsi="楷体" w:eastAsia="楷体"/>
          <w:sz w:val="32"/>
          <w:szCs w:val="32"/>
        </w:rPr>
        <w:t>丰宁满族自治县财政局</w:t>
      </w:r>
      <w:r>
        <w:rPr>
          <w:rFonts w:hint="eastAsia" w:ascii="楷体" w:hAnsi="楷体" w:eastAsia="楷体"/>
          <w:sz w:val="32"/>
          <w:szCs w:val="32"/>
          <w:lang w:eastAsia="zh-CN"/>
        </w:rPr>
        <w:t>局长</w:t>
      </w:r>
      <w:r>
        <w:rPr>
          <w:rFonts w:ascii="楷体" w:hAnsi="楷体" w:eastAsia="楷体"/>
          <w:sz w:val="32"/>
          <w:szCs w:val="32"/>
        </w:rPr>
        <w:t xml:space="preserve">  </w:t>
      </w:r>
      <w:r>
        <w:rPr>
          <w:rFonts w:hint="eastAsia" w:ascii="楷体" w:hAnsi="楷体" w:eastAsia="楷体"/>
          <w:sz w:val="32"/>
          <w:szCs w:val="32"/>
          <w:lang w:eastAsia="zh-CN"/>
        </w:rPr>
        <w:t>李津华</w:t>
      </w:r>
    </w:p>
    <w:p>
      <w:pPr>
        <w:spacing w:line="570" w:lineRule="exact"/>
        <w:jc w:val="center"/>
        <w:rPr>
          <w:rFonts w:ascii="方正小标宋简体" w:eastAsia="方正小标宋简体"/>
          <w:sz w:val="44"/>
          <w:szCs w:val="44"/>
        </w:rPr>
      </w:pPr>
    </w:p>
    <w:p>
      <w:pPr>
        <w:spacing w:line="570" w:lineRule="exact"/>
        <w:jc w:val="center"/>
        <w:rPr>
          <w:rFonts w:ascii="方正小标宋简体" w:eastAsia="方正小标宋简体"/>
          <w:sz w:val="44"/>
          <w:szCs w:val="44"/>
        </w:rPr>
      </w:pPr>
    </w:p>
    <w:p>
      <w:pPr>
        <w:spacing w:line="570" w:lineRule="exact"/>
        <w:jc w:val="center"/>
        <w:rPr>
          <w:rFonts w:ascii="方正小标宋简体" w:eastAsia="方正小标宋简体"/>
          <w:sz w:val="44"/>
          <w:szCs w:val="44"/>
        </w:rPr>
      </w:pPr>
    </w:p>
    <w:p>
      <w:pPr>
        <w:spacing w:line="570" w:lineRule="exact"/>
        <w:jc w:val="center"/>
        <w:rPr>
          <w:rFonts w:ascii="方正小标宋简体" w:eastAsia="方正小标宋简体"/>
          <w:sz w:val="44"/>
          <w:szCs w:val="44"/>
        </w:rPr>
      </w:pPr>
    </w:p>
    <w:p>
      <w:pPr>
        <w:spacing w:line="570" w:lineRule="exact"/>
        <w:jc w:val="center"/>
        <w:rPr>
          <w:rFonts w:ascii="方正小标宋简体" w:eastAsia="方正小标宋简体"/>
          <w:sz w:val="44"/>
          <w:szCs w:val="44"/>
        </w:rPr>
      </w:pPr>
    </w:p>
    <w:p>
      <w:pPr>
        <w:spacing w:line="570" w:lineRule="exact"/>
        <w:jc w:val="center"/>
        <w:rPr>
          <w:rFonts w:ascii="方正小标宋简体" w:eastAsia="方正小标宋简体"/>
          <w:sz w:val="44"/>
          <w:szCs w:val="44"/>
        </w:rPr>
      </w:pPr>
      <w:r>
        <w:rPr>
          <w:rFonts w:ascii="方正小标宋简体" w:eastAsia="方正小标宋简体"/>
          <w:sz w:val="44"/>
          <w:szCs w:val="44"/>
        </w:rPr>
        <w:br w:type="page"/>
      </w:r>
    </w:p>
    <w:p>
      <w:pPr>
        <w:spacing w:line="580" w:lineRule="exact"/>
        <w:jc w:val="center"/>
        <w:rPr>
          <w:rFonts w:ascii="方正小标宋简体" w:hAnsi="华文中宋" w:eastAsia="方正小标宋简体"/>
          <w:sz w:val="44"/>
          <w:szCs w:val="44"/>
        </w:rPr>
        <w:sectPr>
          <w:headerReference r:id="rId3" w:type="default"/>
          <w:footerReference r:id="rId4" w:type="default"/>
          <w:pgSz w:w="11907" w:h="16840"/>
          <w:pgMar w:top="1985" w:right="1304" w:bottom="1701" w:left="1758" w:header="851" w:footer="1418" w:gutter="0"/>
          <w:cols w:space="720" w:num="1"/>
          <w:docGrid w:type="lines" w:linePitch="312" w:charSpace="0"/>
        </w:sectPr>
      </w:pPr>
    </w:p>
    <w:p>
      <w:pPr>
        <w:spacing w:line="580" w:lineRule="exact"/>
        <w:jc w:val="center"/>
        <w:rPr>
          <w:rFonts w:hint="eastAsia" w:ascii="方正小标宋简体" w:hAnsi="华文中宋" w:eastAsia="方正小标宋简体"/>
          <w:sz w:val="44"/>
          <w:szCs w:val="44"/>
        </w:rPr>
      </w:pPr>
    </w:p>
    <w:p>
      <w:pPr>
        <w:spacing w:line="58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关于丰宁满族自治县</w:t>
      </w:r>
      <w:r>
        <w:rPr>
          <w:rFonts w:ascii="方正小标宋简体" w:hAnsi="华文中宋" w:eastAsia="方正小标宋简体"/>
          <w:sz w:val="44"/>
          <w:szCs w:val="44"/>
        </w:rPr>
        <w:t>202</w:t>
      </w:r>
      <w:r>
        <w:rPr>
          <w:rFonts w:hint="eastAsia" w:ascii="方正小标宋简体" w:hAnsi="华文中宋" w:eastAsia="方正小标宋简体"/>
          <w:sz w:val="44"/>
          <w:szCs w:val="44"/>
          <w:lang w:val="en-US" w:eastAsia="zh-CN"/>
        </w:rPr>
        <w:t>4</w:t>
      </w:r>
      <w:r>
        <w:rPr>
          <w:rFonts w:hint="eastAsia" w:ascii="方正小标宋简体" w:hAnsi="华文中宋" w:eastAsia="方正小标宋简体"/>
          <w:sz w:val="44"/>
          <w:szCs w:val="44"/>
        </w:rPr>
        <w:t>年</w:t>
      </w:r>
    </w:p>
    <w:p>
      <w:pPr>
        <w:spacing w:line="58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县本级预算和县总预算执行情况及</w:t>
      </w:r>
    </w:p>
    <w:p>
      <w:pPr>
        <w:spacing w:line="580" w:lineRule="exact"/>
        <w:jc w:val="center"/>
        <w:rPr>
          <w:rFonts w:hint="eastAsia" w:ascii="方正小标宋简体" w:hAnsi="华文中宋" w:eastAsia="方正小标宋简体"/>
          <w:sz w:val="44"/>
          <w:szCs w:val="44"/>
          <w:lang w:eastAsia="zh-CN"/>
        </w:rPr>
      </w:pPr>
      <w:r>
        <w:rPr>
          <w:rFonts w:ascii="方正小标宋简体" w:hAnsi="华文中宋" w:eastAsia="方正小标宋简体"/>
          <w:sz w:val="44"/>
          <w:szCs w:val="44"/>
        </w:rPr>
        <w:t>202</w:t>
      </w:r>
      <w:r>
        <w:rPr>
          <w:rFonts w:hint="eastAsia" w:ascii="方正小标宋简体" w:hAnsi="华文中宋" w:eastAsia="方正小标宋简体"/>
          <w:sz w:val="44"/>
          <w:szCs w:val="44"/>
          <w:lang w:val="en-US" w:eastAsia="zh-CN"/>
        </w:rPr>
        <w:t>5</w:t>
      </w:r>
      <w:r>
        <w:rPr>
          <w:rFonts w:hint="eastAsia" w:ascii="方正小标宋简体" w:hAnsi="华文中宋" w:eastAsia="方正小标宋简体"/>
          <w:sz w:val="44"/>
          <w:szCs w:val="44"/>
        </w:rPr>
        <w:t>年县本级预算和县总预算草案</w:t>
      </w:r>
      <w:r>
        <w:rPr>
          <w:rFonts w:hint="eastAsia" w:ascii="方正小标宋简体" w:hAnsi="华文中宋" w:eastAsia="方正小标宋简体"/>
          <w:sz w:val="44"/>
          <w:szCs w:val="44"/>
          <w:lang w:eastAsia="zh-CN"/>
        </w:rPr>
        <w:t>的</w:t>
      </w:r>
    </w:p>
    <w:p>
      <w:pPr>
        <w:spacing w:line="580" w:lineRule="exact"/>
        <w:jc w:val="center"/>
        <w:rPr>
          <w:rFonts w:hint="eastAsia" w:ascii="方正小标宋简体" w:hAnsi="华文中宋" w:eastAsia="方正小标宋简体"/>
          <w:sz w:val="44"/>
          <w:szCs w:val="44"/>
          <w:lang w:eastAsia="zh-CN"/>
        </w:rPr>
      </w:pPr>
      <w:r>
        <w:rPr>
          <w:rFonts w:hint="eastAsia" w:ascii="方正小标宋简体" w:hAnsi="华文中宋" w:eastAsia="方正小标宋简体"/>
          <w:sz w:val="44"/>
          <w:szCs w:val="44"/>
          <w:lang w:eastAsia="zh-CN"/>
        </w:rPr>
        <w:t>报告（书面）</w:t>
      </w:r>
    </w:p>
    <w:p>
      <w:pPr>
        <w:spacing w:line="400" w:lineRule="exact"/>
        <w:jc w:val="center"/>
        <w:rPr>
          <w:rFonts w:hint="eastAsia" w:ascii="黑体" w:hAnsi="宋体" w:eastAsia="黑体"/>
          <w:sz w:val="44"/>
          <w:szCs w:val="44"/>
          <w:lang w:val="en-US" w:eastAsia="zh-CN"/>
        </w:rPr>
      </w:pPr>
    </w:p>
    <w:p>
      <w:pPr>
        <w:spacing w:line="400" w:lineRule="exact"/>
        <w:jc w:val="center"/>
        <w:rPr>
          <w:rFonts w:hint="eastAsia" w:ascii="楷体_GB2312" w:hAnsi="楷体_GB2312" w:eastAsia="楷体_GB2312" w:cs="楷体_GB2312"/>
          <w:sz w:val="32"/>
          <w:szCs w:val="32"/>
          <w:lang w:val="en-US" w:eastAsia="zh-CN"/>
        </w:rPr>
      </w:pPr>
    </w:p>
    <w:p>
      <w:pPr>
        <w:spacing w:line="560" w:lineRule="exact"/>
        <w:jc w:val="center"/>
        <w:rPr>
          <w:rFonts w:ascii="楷体" w:hAnsi="楷体" w:eastAsia="楷体" w:cs="宋体"/>
          <w:kern w:val="0"/>
          <w:sz w:val="32"/>
          <w:szCs w:val="32"/>
        </w:rPr>
      </w:pPr>
      <w:r>
        <w:rPr>
          <w:rFonts w:ascii="楷体" w:hAnsi="楷体" w:eastAsia="楷体"/>
          <w:kern w:val="0"/>
          <w:sz w:val="32"/>
          <w:szCs w:val="32"/>
        </w:rPr>
        <w:t>——202</w:t>
      </w:r>
      <w:r>
        <w:rPr>
          <w:rFonts w:hint="eastAsia" w:ascii="楷体" w:hAnsi="楷体" w:eastAsia="楷体"/>
          <w:kern w:val="0"/>
          <w:sz w:val="32"/>
          <w:szCs w:val="32"/>
          <w:lang w:val="en-US" w:eastAsia="zh-CN"/>
        </w:rPr>
        <w:t>5</w:t>
      </w:r>
      <w:r>
        <w:rPr>
          <w:rFonts w:hint="eastAsia" w:ascii="楷体" w:hAnsi="楷体" w:eastAsia="楷体"/>
          <w:kern w:val="0"/>
          <w:sz w:val="32"/>
          <w:szCs w:val="32"/>
        </w:rPr>
        <w:t>年</w:t>
      </w:r>
      <w:r>
        <w:rPr>
          <w:rFonts w:ascii="楷体" w:hAnsi="楷体" w:eastAsia="楷体"/>
          <w:kern w:val="0"/>
          <w:sz w:val="32"/>
          <w:szCs w:val="32"/>
        </w:rPr>
        <w:t>1</w:t>
      </w:r>
      <w:r>
        <w:rPr>
          <w:rFonts w:hint="eastAsia" w:ascii="楷体" w:hAnsi="楷体" w:eastAsia="楷体"/>
          <w:kern w:val="0"/>
          <w:sz w:val="32"/>
          <w:szCs w:val="32"/>
        </w:rPr>
        <w:t>月</w:t>
      </w:r>
      <w:r>
        <w:rPr>
          <w:rFonts w:hint="eastAsia" w:ascii="楷体" w:hAnsi="楷体" w:eastAsia="楷体"/>
          <w:kern w:val="0"/>
          <w:sz w:val="32"/>
          <w:szCs w:val="32"/>
          <w:lang w:val="en-US" w:eastAsia="zh-CN"/>
        </w:rPr>
        <w:t>14</w:t>
      </w:r>
      <w:r>
        <w:rPr>
          <w:rFonts w:hint="eastAsia" w:ascii="楷体" w:hAnsi="楷体" w:eastAsia="楷体"/>
          <w:kern w:val="0"/>
          <w:sz w:val="32"/>
          <w:szCs w:val="32"/>
        </w:rPr>
        <w:t>日在丰宁满族自治县第九届</w:t>
      </w:r>
    </w:p>
    <w:p>
      <w:pPr>
        <w:spacing w:line="560" w:lineRule="exact"/>
        <w:jc w:val="center"/>
        <w:rPr>
          <w:rFonts w:ascii="楷体" w:hAnsi="楷体" w:eastAsia="楷体"/>
          <w:kern w:val="0"/>
          <w:sz w:val="32"/>
          <w:szCs w:val="32"/>
        </w:rPr>
      </w:pPr>
      <w:r>
        <w:rPr>
          <w:rFonts w:hint="eastAsia" w:ascii="楷体" w:hAnsi="楷体" w:eastAsia="楷体"/>
          <w:kern w:val="0"/>
          <w:sz w:val="32"/>
          <w:szCs w:val="32"/>
        </w:rPr>
        <w:t>人民代表大会第</w:t>
      </w:r>
      <w:r>
        <w:rPr>
          <w:rFonts w:hint="eastAsia" w:ascii="楷体" w:hAnsi="楷体" w:eastAsia="楷体"/>
          <w:kern w:val="0"/>
          <w:sz w:val="32"/>
          <w:szCs w:val="32"/>
          <w:lang w:val="en-US" w:eastAsia="zh-CN"/>
        </w:rPr>
        <w:t>五</w:t>
      </w:r>
      <w:r>
        <w:rPr>
          <w:rFonts w:hint="eastAsia" w:ascii="楷体" w:hAnsi="楷体" w:eastAsia="楷体"/>
          <w:kern w:val="0"/>
          <w:sz w:val="32"/>
          <w:szCs w:val="32"/>
        </w:rPr>
        <w:t>次会议上</w:t>
      </w:r>
    </w:p>
    <w:p>
      <w:pPr>
        <w:spacing w:line="560" w:lineRule="exact"/>
        <w:jc w:val="center"/>
        <w:rPr>
          <w:rFonts w:hint="eastAsia" w:ascii="楷体" w:hAnsi="楷体" w:eastAsia="楷体"/>
          <w:b/>
          <w:sz w:val="32"/>
          <w:szCs w:val="32"/>
          <w:lang w:eastAsia="zh-CN"/>
        </w:rPr>
      </w:pPr>
      <w:r>
        <w:rPr>
          <w:rFonts w:hint="eastAsia" w:ascii="楷体" w:hAnsi="楷体" w:eastAsia="楷体"/>
          <w:sz w:val="32"/>
          <w:szCs w:val="32"/>
        </w:rPr>
        <w:t>丰宁满族自治县财政局</w:t>
      </w:r>
      <w:r>
        <w:rPr>
          <w:rFonts w:hint="eastAsia" w:ascii="楷体" w:hAnsi="楷体" w:eastAsia="楷体"/>
          <w:sz w:val="32"/>
          <w:szCs w:val="32"/>
          <w:lang w:eastAsia="zh-CN"/>
        </w:rPr>
        <w:t>局长</w:t>
      </w:r>
      <w:r>
        <w:rPr>
          <w:rFonts w:ascii="楷体" w:hAnsi="楷体" w:eastAsia="楷体"/>
          <w:b/>
          <w:sz w:val="32"/>
          <w:szCs w:val="32"/>
        </w:rPr>
        <w:t xml:space="preserve">  </w:t>
      </w:r>
      <w:r>
        <w:rPr>
          <w:rFonts w:hint="eastAsia" w:ascii="楷体" w:hAnsi="楷体" w:eastAsia="楷体"/>
          <w:b/>
          <w:sz w:val="32"/>
          <w:szCs w:val="32"/>
          <w:lang w:eastAsia="zh-CN"/>
        </w:rPr>
        <w:t>李津华</w:t>
      </w:r>
    </w:p>
    <w:bookmarkEnd w:id="0"/>
    <w:p>
      <w:pPr>
        <w:spacing w:line="400" w:lineRule="exact"/>
        <w:jc w:val="center"/>
        <w:rPr>
          <w:rFonts w:ascii="仿宋" w:hAnsi="仿宋" w:eastAsia="仿宋" w:cs="宋体"/>
          <w:kern w:val="0"/>
          <w:sz w:val="32"/>
          <w:szCs w:val="32"/>
        </w:rPr>
      </w:pPr>
    </w:p>
    <w:p>
      <w:pPr>
        <w:spacing w:line="580" w:lineRule="exact"/>
        <w:jc w:val="left"/>
        <w:rPr>
          <w:rFonts w:ascii="仿宋_GB2312" w:hAnsi="仿宋" w:eastAsia="仿宋_GB2312" w:cs="仿宋_GB2312"/>
          <w:kern w:val="0"/>
          <w:sz w:val="32"/>
          <w:szCs w:val="32"/>
        </w:rPr>
      </w:pPr>
      <w:r>
        <w:rPr>
          <w:rFonts w:hint="eastAsia" w:ascii="仿宋_GB2312" w:hAnsi="仿宋" w:eastAsia="仿宋_GB2312" w:cs="仿宋_GB2312"/>
          <w:kern w:val="0"/>
          <w:sz w:val="32"/>
          <w:szCs w:val="32"/>
        </w:rPr>
        <w:t>各位代表：</w:t>
      </w:r>
    </w:p>
    <w:p>
      <w:pPr>
        <w:adjustRightInd w:val="0"/>
        <w:spacing w:line="58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受县人民政府委托，向大会报告</w:t>
      </w:r>
      <w:r>
        <w:rPr>
          <w:rFonts w:ascii="仿宋_GB2312" w:hAnsi="仿宋" w:eastAsia="仿宋_GB2312" w:cs="仿宋_GB2312"/>
          <w:kern w:val="0"/>
          <w:sz w:val="32"/>
          <w:szCs w:val="32"/>
        </w:rPr>
        <w:t>202</w:t>
      </w:r>
      <w:r>
        <w:rPr>
          <w:rFonts w:hint="eastAsia" w:ascii="仿宋_GB2312" w:hAnsi="仿宋" w:eastAsia="仿宋_GB2312" w:cs="仿宋_GB2312"/>
          <w:kern w:val="0"/>
          <w:sz w:val="32"/>
          <w:szCs w:val="32"/>
          <w:lang w:val="en-US" w:eastAsia="zh-CN"/>
        </w:rPr>
        <w:t>4</w:t>
      </w:r>
      <w:r>
        <w:rPr>
          <w:rFonts w:hint="eastAsia" w:ascii="仿宋_GB2312" w:hAnsi="仿宋" w:eastAsia="仿宋_GB2312" w:cs="仿宋_GB2312"/>
          <w:kern w:val="0"/>
          <w:sz w:val="32"/>
          <w:szCs w:val="32"/>
        </w:rPr>
        <w:t>年预算执行情况和</w:t>
      </w:r>
      <w:r>
        <w:rPr>
          <w:rFonts w:ascii="仿宋_GB2312" w:hAnsi="仿宋" w:eastAsia="仿宋_GB2312" w:cs="仿宋_GB2312"/>
          <w:kern w:val="0"/>
          <w:sz w:val="32"/>
          <w:szCs w:val="32"/>
        </w:rPr>
        <w:t>202</w:t>
      </w:r>
      <w:r>
        <w:rPr>
          <w:rFonts w:hint="eastAsia" w:ascii="仿宋_GB2312" w:hAnsi="仿宋" w:eastAsia="仿宋_GB2312" w:cs="仿宋_GB2312"/>
          <w:kern w:val="0"/>
          <w:sz w:val="32"/>
          <w:szCs w:val="32"/>
          <w:lang w:val="en-US" w:eastAsia="zh-CN"/>
        </w:rPr>
        <w:t>5</w:t>
      </w:r>
      <w:r>
        <w:rPr>
          <w:rFonts w:hint="eastAsia" w:ascii="仿宋_GB2312" w:hAnsi="仿宋" w:eastAsia="仿宋_GB2312" w:cs="仿宋_GB2312"/>
          <w:kern w:val="0"/>
          <w:sz w:val="32"/>
          <w:szCs w:val="32"/>
        </w:rPr>
        <w:t>年预算草案，请予审议，并请列席人员提出意见。</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年预算执行情况</w:t>
      </w:r>
    </w:p>
    <w:p>
      <w:pPr>
        <w:adjustRightInd w:val="0"/>
        <w:snapToGrid w:val="0"/>
        <w:spacing w:line="580" w:lineRule="exact"/>
        <w:ind w:firstLine="640" w:firstLineChars="200"/>
        <w:rPr>
          <w:rFonts w:hint="eastAsia" w:ascii="仿宋_GB2312" w:hAnsi="仿宋" w:eastAsia="仿宋_GB2312" w:cs="仿宋_GB2312"/>
          <w:sz w:val="32"/>
          <w:szCs w:val="32"/>
          <w:shd w:val="clear" w:color="auto" w:fill="FFFFFF"/>
          <w:lang w:eastAsia="zh-CN"/>
        </w:rPr>
      </w:pPr>
      <w:r>
        <w:rPr>
          <w:rFonts w:hint="eastAsia" w:ascii="仿宋_GB2312" w:hAnsi="仿宋" w:eastAsia="仿宋_GB2312" w:cs="仿宋_GB2312"/>
          <w:sz w:val="32"/>
          <w:szCs w:val="32"/>
          <w:shd w:val="clear" w:color="auto" w:fill="FFFFFF"/>
          <w:lang w:eastAsia="zh-CN"/>
        </w:rPr>
        <w:t>今年以来，我们在县委的坚强领导下，在县人大、县政协的监督支持下，紧紧围绕党中央国务院和省委、省政府的决策部署，着眼服务县域经济社会发展，坚守为民理财初心，围绕适度加力、提质增效实施积极的财政政策，组合使用多种政策工具，大力优化支出结构，强化财政监督管理，提高风险防控能力，固本培元、增强内生动能，财政运行稳中有进。</w:t>
      </w:r>
    </w:p>
    <w:p>
      <w:pPr>
        <w:adjustRightInd w:val="0"/>
        <w:snapToGrid w:val="0"/>
        <w:spacing w:line="580" w:lineRule="exact"/>
        <w:ind w:firstLine="643" w:firstLineChars="200"/>
        <w:rPr>
          <w:rFonts w:ascii="仿宋_GB2312" w:hAnsi="仿宋" w:eastAsia="仿宋_GB2312"/>
          <w:kern w:val="0"/>
          <w:sz w:val="32"/>
          <w:szCs w:val="32"/>
        </w:rPr>
      </w:pPr>
      <w:r>
        <w:rPr>
          <w:rFonts w:ascii="楷体_GB2312" w:hAnsi="楷体" w:eastAsia="楷体_GB2312" w:cs="宋体"/>
          <w:b/>
          <w:kern w:val="0"/>
          <w:sz w:val="32"/>
          <w:szCs w:val="32"/>
        </w:rPr>
        <w:t>——</w:t>
      </w:r>
      <w:r>
        <w:rPr>
          <w:rFonts w:hint="eastAsia" w:ascii="楷体_GB2312" w:hAnsi="楷体" w:eastAsia="楷体_GB2312" w:cs="宋体"/>
          <w:b/>
          <w:kern w:val="0"/>
          <w:sz w:val="32"/>
          <w:szCs w:val="32"/>
        </w:rPr>
        <w:t>一般公共预算完成情况</w:t>
      </w:r>
      <w:r>
        <w:rPr>
          <w:rFonts w:hint="eastAsia" w:ascii="楷体_GB2312" w:hAnsi="楷体" w:eastAsia="楷体_GB2312" w:cs="宋体"/>
          <w:kern w:val="0"/>
          <w:sz w:val="32"/>
          <w:szCs w:val="32"/>
        </w:rPr>
        <w:t>。</w:t>
      </w:r>
      <w:r>
        <w:rPr>
          <w:rFonts w:ascii="仿宋_GB2312" w:hAnsi="仿宋" w:eastAsia="仿宋_GB2312"/>
          <w:kern w:val="0"/>
          <w:sz w:val="32"/>
          <w:szCs w:val="32"/>
        </w:rPr>
        <w:t>202</w:t>
      </w:r>
      <w:r>
        <w:rPr>
          <w:rFonts w:hint="eastAsia" w:ascii="仿宋_GB2312" w:hAnsi="仿宋" w:eastAsia="仿宋_GB2312"/>
          <w:kern w:val="0"/>
          <w:sz w:val="32"/>
          <w:szCs w:val="32"/>
          <w:lang w:val="en-US" w:eastAsia="zh-CN"/>
        </w:rPr>
        <w:t>4</w:t>
      </w:r>
      <w:r>
        <w:rPr>
          <w:rFonts w:hint="eastAsia" w:ascii="仿宋_GB2312" w:hAnsi="仿宋" w:eastAsia="仿宋_GB2312"/>
          <w:kern w:val="0"/>
          <w:sz w:val="32"/>
          <w:szCs w:val="32"/>
        </w:rPr>
        <w:t>年，</w:t>
      </w:r>
      <w:r>
        <w:rPr>
          <w:rFonts w:hint="eastAsia" w:ascii="仿宋_GB2312" w:hAnsi="仿宋" w:eastAsia="仿宋_GB2312"/>
          <w:kern w:val="0"/>
          <w:sz w:val="32"/>
          <w:szCs w:val="32"/>
          <w:lang w:eastAsia="zh-CN"/>
        </w:rPr>
        <w:t>按照自然口径</w:t>
      </w:r>
      <w:r>
        <w:rPr>
          <w:rFonts w:hint="eastAsia" w:ascii="仿宋_GB2312" w:hAnsi="仿宋" w:eastAsia="仿宋_GB2312"/>
          <w:kern w:val="0"/>
          <w:sz w:val="32"/>
          <w:szCs w:val="32"/>
        </w:rPr>
        <w:t>全县全部财政收入完成</w:t>
      </w:r>
      <w:r>
        <w:rPr>
          <w:rFonts w:hint="eastAsia" w:ascii="仿宋_GB2312" w:hAnsi="仿宋" w:eastAsia="仿宋_GB2312"/>
          <w:kern w:val="0"/>
          <w:sz w:val="32"/>
          <w:szCs w:val="32"/>
          <w:highlight w:val="none"/>
          <w:lang w:val="en-US" w:eastAsia="zh-CN"/>
        </w:rPr>
        <w:t>269930</w:t>
      </w:r>
      <w:r>
        <w:rPr>
          <w:rFonts w:hint="eastAsia" w:ascii="仿宋_GB2312" w:hAnsi="仿宋" w:eastAsia="仿宋_GB2312"/>
          <w:kern w:val="0"/>
          <w:sz w:val="32"/>
          <w:szCs w:val="32"/>
        </w:rPr>
        <w:t>万元，占调整预算的</w:t>
      </w:r>
      <w:r>
        <w:rPr>
          <w:rFonts w:hint="eastAsia" w:ascii="仿宋_GB2312" w:hAnsi="仿宋" w:eastAsia="仿宋_GB2312"/>
          <w:kern w:val="0"/>
          <w:sz w:val="32"/>
          <w:szCs w:val="32"/>
          <w:highlight w:val="none"/>
          <w:lang w:val="en-US" w:eastAsia="zh-CN"/>
        </w:rPr>
        <w:t>98.8</w:t>
      </w:r>
      <w:r>
        <w:rPr>
          <w:rFonts w:ascii="仿宋_GB2312" w:hAnsi="仿宋" w:eastAsia="仿宋_GB2312"/>
          <w:kern w:val="0"/>
          <w:sz w:val="32"/>
          <w:szCs w:val="32"/>
        </w:rPr>
        <w:t>%</w:t>
      </w:r>
      <w:r>
        <w:rPr>
          <w:rFonts w:hint="eastAsia" w:ascii="仿宋_GB2312" w:hAnsi="仿宋" w:eastAsia="仿宋_GB2312"/>
          <w:kern w:val="0"/>
          <w:sz w:val="32"/>
          <w:szCs w:val="32"/>
        </w:rPr>
        <w:t>，同比增长</w:t>
      </w:r>
      <w:r>
        <w:rPr>
          <w:rFonts w:hint="eastAsia" w:ascii="仿宋_GB2312" w:hAnsi="仿宋" w:eastAsia="仿宋_GB2312"/>
          <w:kern w:val="0"/>
          <w:sz w:val="32"/>
          <w:szCs w:val="32"/>
          <w:highlight w:val="none"/>
          <w:lang w:val="en-US" w:eastAsia="zh-CN"/>
        </w:rPr>
        <w:t>33.98</w:t>
      </w:r>
      <w:r>
        <w:rPr>
          <w:rFonts w:ascii="仿宋_GB2312" w:hAnsi="仿宋" w:eastAsia="仿宋_GB2312"/>
          <w:kern w:val="0"/>
          <w:sz w:val="32"/>
          <w:szCs w:val="32"/>
        </w:rPr>
        <w:t>%</w:t>
      </w:r>
      <w:r>
        <w:rPr>
          <w:rFonts w:hint="eastAsia" w:ascii="仿宋_GB2312" w:hAnsi="仿宋" w:eastAsia="仿宋_GB2312"/>
          <w:kern w:val="0"/>
          <w:sz w:val="32"/>
          <w:szCs w:val="32"/>
        </w:rPr>
        <w:t>。县级一般公共预算收入完成</w:t>
      </w:r>
      <w:r>
        <w:rPr>
          <w:rFonts w:hint="eastAsia" w:ascii="仿宋_GB2312" w:hAnsi="仿宋" w:eastAsia="仿宋_GB2312"/>
          <w:kern w:val="0"/>
          <w:sz w:val="32"/>
          <w:szCs w:val="32"/>
          <w:lang w:val="en-US" w:eastAsia="zh-CN"/>
        </w:rPr>
        <w:t>123825</w:t>
      </w:r>
      <w:r>
        <w:rPr>
          <w:rFonts w:hint="eastAsia" w:ascii="仿宋_GB2312" w:hAnsi="仿宋" w:eastAsia="仿宋_GB2312"/>
          <w:kern w:val="0"/>
          <w:sz w:val="32"/>
          <w:szCs w:val="32"/>
        </w:rPr>
        <w:t>万元，占调整预算的</w:t>
      </w:r>
      <w:r>
        <w:rPr>
          <w:rFonts w:ascii="仿宋_GB2312" w:hAnsi="仿宋" w:eastAsia="仿宋_GB2312"/>
          <w:kern w:val="0"/>
          <w:sz w:val="32"/>
          <w:szCs w:val="32"/>
        </w:rPr>
        <w:t>100.</w:t>
      </w:r>
      <w:r>
        <w:rPr>
          <w:rFonts w:hint="eastAsia" w:ascii="仿宋_GB2312" w:hAnsi="仿宋" w:eastAsia="仿宋_GB2312"/>
          <w:kern w:val="0"/>
          <w:sz w:val="32"/>
          <w:szCs w:val="32"/>
          <w:lang w:val="en-US" w:eastAsia="zh-CN"/>
        </w:rPr>
        <w:t>3</w:t>
      </w:r>
      <w:r>
        <w:rPr>
          <w:rFonts w:ascii="仿宋_GB2312" w:hAnsi="仿宋" w:eastAsia="仿宋_GB2312"/>
          <w:kern w:val="0"/>
          <w:sz w:val="32"/>
          <w:szCs w:val="32"/>
        </w:rPr>
        <w:t>%</w:t>
      </w:r>
      <w:r>
        <w:rPr>
          <w:rFonts w:hint="eastAsia" w:ascii="仿宋_GB2312" w:hAnsi="仿宋" w:eastAsia="仿宋_GB2312"/>
          <w:kern w:val="0"/>
          <w:sz w:val="32"/>
          <w:szCs w:val="32"/>
        </w:rPr>
        <w:t>，同比增长</w:t>
      </w:r>
      <w:r>
        <w:rPr>
          <w:rFonts w:hint="eastAsia" w:ascii="仿宋_GB2312" w:hAnsi="仿宋" w:eastAsia="仿宋_GB2312"/>
          <w:kern w:val="0"/>
          <w:sz w:val="32"/>
          <w:szCs w:val="32"/>
          <w:lang w:val="en-US" w:eastAsia="zh-CN"/>
        </w:rPr>
        <w:t>28.8</w:t>
      </w:r>
      <w:r>
        <w:rPr>
          <w:rFonts w:ascii="仿宋_GB2312" w:hAnsi="仿宋" w:eastAsia="仿宋_GB2312"/>
          <w:kern w:val="0"/>
          <w:sz w:val="32"/>
          <w:szCs w:val="32"/>
        </w:rPr>
        <w:t>%</w:t>
      </w:r>
      <w:r>
        <w:rPr>
          <w:rFonts w:hint="eastAsia" w:ascii="仿宋_GB2312" w:hAnsi="仿宋" w:eastAsia="仿宋_GB2312"/>
          <w:kern w:val="0"/>
          <w:sz w:val="32"/>
          <w:szCs w:val="32"/>
        </w:rPr>
        <w:t>。其中税收收入完成</w:t>
      </w:r>
      <w:r>
        <w:rPr>
          <w:rFonts w:hint="eastAsia" w:ascii="仿宋_GB2312" w:hAnsi="仿宋" w:eastAsia="仿宋_GB2312"/>
          <w:kern w:val="0"/>
          <w:sz w:val="32"/>
          <w:szCs w:val="32"/>
          <w:lang w:val="en-US" w:eastAsia="zh-CN"/>
        </w:rPr>
        <w:t>95973</w:t>
      </w:r>
      <w:r>
        <w:rPr>
          <w:rFonts w:hint="eastAsia" w:ascii="仿宋_GB2312" w:hAnsi="仿宋" w:eastAsia="仿宋_GB2312"/>
          <w:kern w:val="0"/>
          <w:sz w:val="32"/>
          <w:szCs w:val="32"/>
        </w:rPr>
        <w:t>万元，同比增长</w:t>
      </w:r>
      <w:r>
        <w:rPr>
          <w:rFonts w:hint="eastAsia" w:ascii="仿宋_GB2312" w:hAnsi="仿宋" w:eastAsia="仿宋_GB2312"/>
          <w:kern w:val="0"/>
          <w:sz w:val="32"/>
          <w:szCs w:val="32"/>
          <w:highlight w:val="none"/>
          <w:lang w:val="en-US" w:eastAsia="zh-CN"/>
        </w:rPr>
        <w:t>47.2</w:t>
      </w:r>
      <w:r>
        <w:rPr>
          <w:rFonts w:ascii="仿宋_GB2312" w:hAnsi="仿宋" w:eastAsia="仿宋_GB2312"/>
          <w:kern w:val="0"/>
          <w:sz w:val="32"/>
          <w:szCs w:val="32"/>
          <w:highlight w:val="none"/>
        </w:rPr>
        <w:t>%</w:t>
      </w:r>
      <w:r>
        <w:rPr>
          <w:rFonts w:hint="eastAsia" w:ascii="仿宋_GB2312" w:hAnsi="仿宋" w:eastAsia="仿宋_GB2312"/>
          <w:kern w:val="0"/>
          <w:sz w:val="32"/>
          <w:szCs w:val="32"/>
          <w:highlight w:val="none"/>
        </w:rPr>
        <w:t>，</w:t>
      </w:r>
      <w:r>
        <w:rPr>
          <w:rFonts w:hint="eastAsia" w:ascii="仿宋_GB2312" w:hAnsi="仿宋" w:eastAsia="仿宋_GB2312"/>
          <w:kern w:val="0"/>
          <w:sz w:val="32"/>
          <w:szCs w:val="32"/>
        </w:rPr>
        <w:t>非税收入完成</w:t>
      </w:r>
      <w:r>
        <w:rPr>
          <w:rFonts w:hint="eastAsia" w:ascii="仿宋_GB2312" w:hAnsi="仿宋" w:eastAsia="仿宋_GB2312"/>
          <w:kern w:val="0"/>
          <w:sz w:val="32"/>
          <w:szCs w:val="32"/>
          <w:lang w:val="en-US" w:eastAsia="zh-CN"/>
        </w:rPr>
        <w:t>27852</w:t>
      </w:r>
      <w:r>
        <w:rPr>
          <w:rFonts w:hint="eastAsia" w:ascii="仿宋_GB2312" w:hAnsi="仿宋" w:eastAsia="仿宋_GB2312"/>
          <w:kern w:val="0"/>
          <w:sz w:val="32"/>
          <w:szCs w:val="32"/>
        </w:rPr>
        <w:t>万元，同比</w:t>
      </w:r>
      <w:r>
        <w:rPr>
          <w:rFonts w:hint="eastAsia" w:ascii="仿宋_GB2312" w:hAnsi="仿宋" w:eastAsia="仿宋_GB2312"/>
          <w:kern w:val="0"/>
          <w:sz w:val="32"/>
          <w:szCs w:val="32"/>
          <w:lang w:eastAsia="zh-CN"/>
        </w:rPr>
        <w:t>下降</w:t>
      </w:r>
      <w:r>
        <w:rPr>
          <w:rFonts w:hint="eastAsia" w:ascii="仿宋_GB2312" w:hAnsi="仿宋" w:eastAsia="仿宋_GB2312"/>
          <w:kern w:val="0"/>
          <w:sz w:val="32"/>
          <w:szCs w:val="32"/>
          <w:highlight w:val="none"/>
          <w:lang w:val="en-US" w:eastAsia="zh-CN"/>
        </w:rPr>
        <w:t>10</w:t>
      </w:r>
      <w:r>
        <w:rPr>
          <w:rFonts w:ascii="仿宋_GB2312" w:hAnsi="仿宋" w:eastAsia="仿宋_GB2312"/>
          <w:kern w:val="0"/>
          <w:sz w:val="32"/>
          <w:szCs w:val="32"/>
        </w:rPr>
        <w:t>%</w:t>
      </w:r>
      <w:r>
        <w:rPr>
          <w:rFonts w:hint="eastAsia" w:ascii="仿宋_GB2312" w:hAnsi="仿宋" w:eastAsia="仿宋_GB2312"/>
          <w:kern w:val="0"/>
          <w:sz w:val="32"/>
          <w:szCs w:val="32"/>
        </w:rPr>
        <w:t>。一般公共预算支出完成</w:t>
      </w:r>
      <w:r>
        <w:rPr>
          <w:rFonts w:hint="eastAsia" w:ascii="仿宋_GB2312" w:hAnsi="仿宋" w:eastAsia="仿宋_GB2312"/>
          <w:kern w:val="0"/>
          <w:sz w:val="32"/>
          <w:szCs w:val="32"/>
          <w:lang w:val="en-US" w:eastAsia="zh-CN"/>
        </w:rPr>
        <w:t>544200</w:t>
      </w:r>
      <w:r>
        <w:rPr>
          <w:rFonts w:hint="eastAsia" w:ascii="仿宋_GB2312" w:hAnsi="仿宋" w:eastAsia="仿宋_GB2312"/>
          <w:kern w:val="0"/>
          <w:sz w:val="32"/>
          <w:szCs w:val="32"/>
        </w:rPr>
        <w:t>万元，占调整预算的</w:t>
      </w:r>
      <w:r>
        <w:rPr>
          <w:rFonts w:ascii="仿宋_GB2312" w:hAnsi="仿宋" w:eastAsia="仿宋_GB2312"/>
          <w:kern w:val="0"/>
          <w:sz w:val="32"/>
          <w:szCs w:val="32"/>
        </w:rPr>
        <w:t>10</w:t>
      </w:r>
      <w:r>
        <w:rPr>
          <w:rFonts w:hint="eastAsia" w:ascii="仿宋_GB2312" w:hAnsi="仿宋" w:eastAsia="仿宋_GB2312"/>
          <w:kern w:val="0"/>
          <w:sz w:val="32"/>
          <w:szCs w:val="32"/>
          <w:lang w:val="en-US" w:eastAsia="zh-CN"/>
        </w:rPr>
        <w:t>0.9</w:t>
      </w:r>
      <w:r>
        <w:rPr>
          <w:rFonts w:ascii="仿宋_GB2312" w:hAnsi="仿宋" w:eastAsia="仿宋_GB2312"/>
          <w:kern w:val="0"/>
          <w:sz w:val="32"/>
          <w:szCs w:val="32"/>
        </w:rPr>
        <w:t>%</w:t>
      </w:r>
      <w:r>
        <w:rPr>
          <w:rFonts w:hint="eastAsia" w:ascii="仿宋_GB2312" w:hAnsi="仿宋" w:eastAsia="仿宋_GB2312"/>
          <w:kern w:val="0"/>
          <w:sz w:val="32"/>
          <w:szCs w:val="32"/>
        </w:rPr>
        <w:t>，比上年增加</w:t>
      </w:r>
      <w:r>
        <w:rPr>
          <w:rFonts w:hint="eastAsia" w:ascii="仿宋_GB2312" w:hAnsi="仿宋" w:eastAsia="仿宋_GB2312"/>
          <w:kern w:val="0"/>
          <w:sz w:val="32"/>
          <w:szCs w:val="32"/>
          <w:highlight w:val="none"/>
          <w:lang w:val="en-US" w:eastAsia="zh-CN"/>
        </w:rPr>
        <w:t>25085</w:t>
      </w:r>
      <w:r>
        <w:rPr>
          <w:rFonts w:hint="eastAsia" w:ascii="仿宋_GB2312" w:hAnsi="仿宋" w:eastAsia="仿宋_GB2312"/>
          <w:kern w:val="0"/>
          <w:sz w:val="32"/>
          <w:szCs w:val="32"/>
        </w:rPr>
        <w:t>万元，同比增长</w:t>
      </w:r>
      <w:r>
        <w:rPr>
          <w:rFonts w:ascii="仿宋_GB2312" w:hAnsi="仿宋" w:eastAsia="仿宋_GB2312"/>
          <w:kern w:val="0"/>
          <w:sz w:val="32"/>
          <w:szCs w:val="32"/>
        </w:rPr>
        <w:t>4</w:t>
      </w:r>
      <w:r>
        <w:rPr>
          <w:rFonts w:hint="eastAsia" w:ascii="仿宋_GB2312" w:hAnsi="仿宋" w:eastAsia="仿宋_GB2312"/>
          <w:kern w:val="0"/>
          <w:sz w:val="32"/>
          <w:szCs w:val="32"/>
          <w:lang w:val="en-US" w:eastAsia="zh-CN"/>
        </w:rPr>
        <w:t>.8</w:t>
      </w:r>
      <w:r>
        <w:rPr>
          <w:rFonts w:ascii="仿宋_GB2312" w:hAnsi="仿宋" w:eastAsia="仿宋_GB2312"/>
          <w:kern w:val="0"/>
          <w:sz w:val="32"/>
          <w:szCs w:val="32"/>
        </w:rPr>
        <w:t>%</w:t>
      </w:r>
      <w:r>
        <w:rPr>
          <w:rFonts w:hint="eastAsia" w:ascii="仿宋_GB2312" w:hAnsi="仿宋" w:eastAsia="仿宋_GB2312"/>
          <w:kern w:val="0"/>
          <w:sz w:val="32"/>
          <w:szCs w:val="32"/>
        </w:rPr>
        <w:t>。</w:t>
      </w:r>
    </w:p>
    <w:p>
      <w:pPr>
        <w:adjustRightInd w:val="0"/>
        <w:snapToGrid w:val="0"/>
        <w:spacing w:line="580" w:lineRule="exact"/>
        <w:ind w:firstLine="643" w:firstLineChars="200"/>
        <w:rPr>
          <w:rFonts w:ascii="仿宋_GB2312" w:hAnsi="仿宋" w:eastAsia="仿宋_GB2312"/>
          <w:kern w:val="0"/>
          <w:sz w:val="32"/>
          <w:szCs w:val="32"/>
        </w:rPr>
      </w:pPr>
      <w:r>
        <w:rPr>
          <w:rFonts w:hint="eastAsia" w:ascii="仿宋_GB2312" w:hAnsi="仿宋" w:eastAsia="仿宋_GB2312"/>
          <w:b/>
          <w:bCs/>
          <w:kern w:val="0"/>
          <w:sz w:val="32"/>
          <w:szCs w:val="32"/>
        </w:rPr>
        <w:t>收支平衡情况</w:t>
      </w:r>
      <w:r>
        <w:rPr>
          <w:rFonts w:hint="eastAsia" w:ascii="仿宋_GB2312" w:hAnsi="仿宋" w:eastAsia="仿宋_GB2312"/>
          <w:kern w:val="0"/>
          <w:sz w:val="32"/>
          <w:szCs w:val="32"/>
        </w:rPr>
        <w:t>：收入总计为</w:t>
      </w:r>
      <w:r>
        <w:rPr>
          <w:rFonts w:hint="eastAsia" w:ascii="仿宋_GB2312" w:hAnsi="仿宋" w:eastAsia="仿宋_GB2312"/>
          <w:kern w:val="0"/>
          <w:sz w:val="32"/>
          <w:szCs w:val="32"/>
          <w:highlight w:val="none"/>
          <w:lang w:val="en-US" w:eastAsia="zh-CN"/>
        </w:rPr>
        <w:t>624913</w:t>
      </w:r>
      <w:r>
        <w:rPr>
          <w:rFonts w:hint="eastAsia" w:ascii="仿宋_GB2312" w:hAnsi="仿宋" w:eastAsia="仿宋_GB2312"/>
          <w:kern w:val="0"/>
          <w:sz w:val="32"/>
          <w:szCs w:val="32"/>
        </w:rPr>
        <w:t>万元，其中：一般公共预算收入</w:t>
      </w:r>
      <w:r>
        <w:rPr>
          <w:rFonts w:hint="eastAsia" w:ascii="仿宋_GB2312" w:hAnsi="仿宋" w:eastAsia="仿宋_GB2312"/>
          <w:kern w:val="0"/>
          <w:sz w:val="32"/>
          <w:szCs w:val="32"/>
          <w:lang w:val="en-US" w:eastAsia="zh-CN"/>
        </w:rPr>
        <w:t>123825</w:t>
      </w:r>
      <w:r>
        <w:rPr>
          <w:rFonts w:hint="eastAsia" w:ascii="仿宋_GB2312" w:hAnsi="仿宋" w:eastAsia="仿宋_GB2312"/>
          <w:kern w:val="0"/>
          <w:sz w:val="32"/>
          <w:szCs w:val="32"/>
        </w:rPr>
        <w:t>万元，上级补助收入</w:t>
      </w:r>
      <w:r>
        <w:rPr>
          <w:rFonts w:hint="eastAsia" w:ascii="仿宋_GB2312" w:hAnsi="仿宋" w:eastAsia="仿宋_GB2312"/>
          <w:kern w:val="0"/>
          <w:sz w:val="32"/>
          <w:szCs w:val="32"/>
          <w:lang w:val="en-US" w:eastAsia="zh-CN"/>
        </w:rPr>
        <w:t>390150</w:t>
      </w:r>
      <w:r>
        <w:rPr>
          <w:rFonts w:hint="eastAsia" w:ascii="仿宋_GB2312" w:hAnsi="仿宋" w:eastAsia="仿宋_GB2312"/>
          <w:kern w:val="0"/>
          <w:sz w:val="32"/>
          <w:szCs w:val="32"/>
        </w:rPr>
        <w:t>万元，一般债券收入</w:t>
      </w:r>
      <w:r>
        <w:rPr>
          <w:rFonts w:hint="eastAsia" w:ascii="仿宋_GB2312" w:hAnsi="仿宋" w:eastAsia="仿宋_GB2312"/>
          <w:kern w:val="0"/>
          <w:sz w:val="32"/>
          <w:szCs w:val="32"/>
          <w:lang w:val="en-US" w:eastAsia="zh-CN"/>
        </w:rPr>
        <w:t>23500</w:t>
      </w:r>
      <w:r>
        <w:rPr>
          <w:rFonts w:hint="eastAsia" w:ascii="仿宋_GB2312" w:hAnsi="仿宋" w:eastAsia="仿宋_GB2312"/>
          <w:kern w:val="0"/>
          <w:sz w:val="32"/>
          <w:szCs w:val="32"/>
        </w:rPr>
        <w:t>万元，上年结转收入</w:t>
      </w:r>
      <w:r>
        <w:rPr>
          <w:rFonts w:ascii="仿宋_GB2312" w:hAnsi="仿宋" w:eastAsia="仿宋_GB2312"/>
          <w:kern w:val="0"/>
          <w:sz w:val="32"/>
          <w:szCs w:val="32"/>
        </w:rPr>
        <w:t>1</w:t>
      </w:r>
      <w:r>
        <w:rPr>
          <w:rFonts w:hint="eastAsia" w:ascii="仿宋_GB2312" w:hAnsi="仿宋" w:eastAsia="仿宋_GB2312"/>
          <w:kern w:val="0"/>
          <w:sz w:val="32"/>
          <w:szCs w:val="32"/>
          <w:lang w:val="en-US" w:eastAsia="zh-CN"/>
        </w:rPr>
        <w:t>4271</w:t>
      </w:r>
      <w:r>
        <w:rPr>
          <w:rFonts w:hint="eastAsia" w:ascii="仿宋_GB2312" w:hAnsi="仿宋" w:eastAsia="仿宋_GB2312"/>
          <w:kern w:val="0"/>
          <w:sz w:val="32"/>
          <w:szCs w:val="32"/>
        </w:rPr>
        <w:t>万元，调入预算稳定调节资金</w:t>
      </w:r>
      <w:r>
        <w:rPr>
          <w:rFonts w:ascii="仿宋_GB2312" w:hAnsi="仿宋" w:eastAsia="仿宋_GB2312"/>
          <w:kern w:val="0"/>
          <w:sz w:val="32"/>
          <w:szCs w:val="32"/>
        </w:rPr>
        <w:t>23</w:t>
      </w:r>
      <w:r>
        <w:rPr>
          <w:rFonts w:hint="eastAsia" w:ascii="仿宋_GB2312" w:hAnsi="仿宋" w:eastAsia="仿宋_GB2312"/>
          <w:kern w:val="0"/>
          <w:sz w:val="32"/>
          <w:szCs w:val="32"/>
          <w:lang w:val="en-US" w:eastAsia="zh-CN"/>
        </w:rPr>
        <w:t>6</w:t>
      </w:r>
      <w:r>
        <w:rPr>
          <w:rFonts w:hint="eastAsia" w:ascii="仿宋_GB2312" w:hAnsi="仿宋" w:eastAsia="仿宋_GB2312"/>
          <w:kern w:val="0"/>
          <w:sz w:val="32"/>
          <w:szCs w:val="32"/>
        </w:rPr>
        <w:t>万元，调入资金</w:t>
      </w:r>
      <w:r>
        <w:rPr>
          <w:rFonts w:hint="eastAsia" w:ascii="仿宋_GB2312" w:hAnsi="仿宋" w:eastAsia="仿宋_GB2312"/>
          <w:kern w:val="0"/>
          <w:sz w:val="32"/>
          <w:szCs w:val="32"/>
          <w:lang w:val="en-US" w:eastAsia="zh-CN"/>
        </w:rPr>
        <w:t>63731</w:t>
      </w:r>
      <w:r>
        <w:rPr>
          <w:rFonts w:hint="eastAsia" w:ascii="仿宋_GB2312" w:hAnsi="仿宋" w:eastAsia="仿宋_GB2312"/>
          <w:kern w:val="0"/>
          <w:sz w:val="32"/>
          <w:szCs w:val="32"/>
        </w:rPr>
        <w:t>万元，地方政府一般转贷收入</w:t>
      </w:r>
      <w:r>
        <w:rPr>
          <w:rFonts w:hint="eastAsia" w:ascii="仿宋_GB2312" w:hAnsi="仿宋" w:eastAsia="仿宋_GB2312"/>
          <w:kern w:val="0"/>
          <w:sz w:val="32"/>
          <w:szCs w:val="32"/>
          <w:lang w:val="en-US" w:eastAsia="zh-CN"/>
        </w:rPr>
        <w:t>9200</w:t>
      </w:r>
      <w:r>
        <w:rPr>
          <w:rFonts w:hint="eastAsia" w:ascii="仿宋_GB2312" w:hAnsi="仿宋" w:eastAsia="仿宋_GB2312"/>
          <w:kern w:val="0"/>
          <w:sz w:val="32"/>
          <w:szCs w:val="32"/>
        </w:rPr>
        <w:t>万元；支出总计为</w:t>
      </w:r>
      <w:r>
        <w:rPr>
          <w:rFonts w:hint="eastAsia" w:ascii="仿宋_GB2312" w:hAnsi="仿宋" w:eastAsia="仿宋_GB2312"/>
          <w:kern w:val="0"/>
          <w:sz w:val="32"/>
          <w:szCs w:val="32"/>
          <w:lang w:val="en-US" w:eastAsia="zh-CN"/>
        </w:rPr>
        <w:t>624913</w:t>
      </w:r>
      <w:r>
        <w:rPr>
          <w:rFonts w:hint="eastAsia" w:ascii="仿宋_GB2312" w:hAnsi="仿宋" w:eastAsia="仿宋_GB2312"/>
          <w:kern w:val="0"/>
          <w:sz w:val="32"/>
          <w:szCs w:val="32"/>
        </w:rPr>
        <w:t>万元，其中一般公共预算支出完成</w:t>
      </w:r>
      <w:r>
        <w:rPr>
          <w:rFonts w:hint="eastAsia" w:ascii="仿宋_GB2312" w:hAnsi="仿宋" w:eastAsia="仿宋_GB2312"/>
          <w:kern w:val="0"/>
          <w:sz w:val="32"/>
          <w:szCs w:val="32"/>
          <w:lang w:val="en-US" w:eastAsia="zh-CN"/>
        </w:rPr>
        <w:t>544200</w:t>
      </w:r>
      <w:r>
        <w:rPr>
          <w:rFonts w:hint="eastAsia" w:ascii="仿宋_GB2312" w:hAnsi="仿宋" w:eastAsia="仿宋_GB2312"/>
          <w:kern w:val="0"/>
          <w:sz w:val="32"/>
          <w:szCs w:val="32"/>
        </w:rPr>
        <w:t>万元，上解支出</w:t>
      </w:r>
      <w:r>
        <w:rPr>
          <w:rFonts w:hint="eastAsia" w:ascii="仿宋_GB2312" w:hAnsi="仿宋" w:eastAsia="仿宋_GB2312"/>
          <w:kern w:val="0"/>
          <w:sz w:val="32"/>
          <w:szCs w:val="32"/>
          <w:lang w:val="en-US" w:eastAsia="zh-CN"/>
        </w:rPr>
        <w:t>716</w:t>
      </w:r>
      <w:r>
        <w:rPr>
          <w:rFonts w:hint="eastAsia" w:ascii="仿宋_GB2312" w:hAnsi="仿宋" w:eastAsia="仿宋_GB2312"/>
          <w:kern w:val="0"/>
          <w:sz w:val="32"/>
          <w:szCs w:val="32"/>
        </w:rPr>
        <w:t>万元，一般债券还本支出</w:t>
      </w:r>
      <w:r>
        <w:rPr>
          <w:rFonts w:hint="eastAsia" w:ascii="仿宋_GB2312" w:hAnsi="仿宋" w:eastAsia="仿宋_GB2312"/>
          <w:kern w:val="0"/>
          <w:sz w:val="32"/>
          <w:szCs w:val="32"/>
          <w:lang w:val="en-US" w:eastAsia="zh-CN"/>
        </w:rPr>
        <w:t>10271</w:t>
      </w:r>
      <w:r>
        <w:rPr>
          <w:rFonts w:hint="eastAsia" w:ascii="仿宋_GB2312" w:hAnsi="仿宋" w:eastAsia="仿宋_GB2312"/>
          <w:kern w:val="0"/>
          <w:sz w:val="32"/>
          <w:szCs w:val="32"/>
        </w:rPr>
        <w:t>万元</w:t>
      </w:r>
      <w:r>
        <w:rPr>
          <w:rFonts w:hint="eastAsia" w:ascii="仿宋_GB2312" w:hAnsi="仿宋" w:eastAsia="仿宋_GB2312"/>
          <w:kern w:val="0"/>
          <w:sz w:val="32"/>
          <w:szCs w:val="32"/>
          <w:lang w:eastAsia="zh-CN"/>
        </w:rPr>
        <w:t>，安排预算稳定调节基金</w:t>
      </w:r>
      <w:r>
        <w:rPr>
          <w:rFonts w:hint="eastAsia" w:ascii="仿宋_GB2312" w:hAnsi="仿宋" w:eastAsia="仿宋_GB2312"/>
          <w:kern w:val="0"/>
          <w:sz w:val="32"/>
          <w:szCs w:val="32"/>
          <w:lang w:val="en-US" w:eastAsia="zh-CN"/>
        </w:rPr>
        <w:t>12883万元，调出4802万元</w:t>
      </w:r>
      <w:r>
        <w:rPr>
          <w:rFonts w:hint="eastAsia" w:ascii="仿宋_GB2312" w:hAnsi="仿宋" w:eastAsia="仿宋_GB2312"/>
          <w:kern w:val="0"/>
          <w:sz w:val="32"/>
          <w:szCs w:val="32"/>
        </w:rPr>
        <w:t>；结转下年</w:t>
      </w:r>
      <w:r>
        <w:rPr>
          <w:rFonts w:hint="eastAsia" w:ascii="仿宋_GB2312" w:hAnsi="仿宋" w:eastAsia="仿宋_GB2312"/>
          <w:kern w:val="0"/>
          <w:sz w:val="32"/>
          <w:szCs w:val="32"/>
          <w:lang w:val="en-US" w:eastAsia="zh-CN"/>
        </w:rPr>
        <w:t>52041</w:t>
      </w:r>
      <w:r>
        <w:rPr>
          <w:rFonts w:hint="eastAsia" w:ascii="仿宋_GB2312" w:hAnsi="仿宋" w:eastAsia="仿宋_GB2312"/>
          <w:kern w:val="0"/>
          <w:sz w:val="32"/>
          <w:szCs w:val="32"/>
        </w:rPr>
        <w:t>万元，当年实现收支平衡。</w:t>
      </w:r>
    </w:p>
    <w:p>
      <w:pPr>
        <w:adjustRightInd w:val="0"/>
        <w:spacing w:line="580" w:lineRule="exact"/>
        <w:ind w:firstLine="640" w:firstLineChars="200"/>
        <w:rPr>
          <w:rFonts w:ascii="仿宋_GB2312" w:hAnsi="仿宋" w:eastAsia="仿宋_GB2312"/>
          <w:kern w:val="0"/>
          <w:sz w:val="32"/>
          <w:szCs w:val="32"/>
          <w:highlight w:val="none"/>
        </w:rPr>
      </w:pPr>
      <w:r>
        <w:rPr>
          <w:rFonts w:hint="eastAsia" w:ascii="仿宋_GB2312" w:hAnsi="仿宋" w:eastAsia="仿宋_GB2312"/>
          <w:bCs/>
          <w:kern w:val="0"/>
          <w:sz w:val="32"/>
          <w:szCs w:val="32"/>
          <w:highlight w:val="none"/>
        </w:rPr>
        <w:t>县本级一般公共预算</w:t>
      </w:r>
      <w:r>
        <w:rPr>
          <w:rFonts w:hint="eastAsia" w:ascii="仿宋_GB2312" w:hAnsi="仿宋" w:eastAsia="仿宋_GB2312"/>
          <w:kern w:val="0"/>
          <w:sz w:val="32"/>
          <w:szCs w:val="32"/>
          <w:highlight w:val="none"/>
        </w:rPr>
        <w:t>收入完成</w:t>
      </w:r>
      <w:r>
        <w:rPr>
          <w:rFonts w:hint="eastAsia" w:ascii="仿宋_GB2312" w:hAnsi="仿宋" w:eastAsia="仿宋_GB2312"/>
          <w:kern w:val="0"/>
          <w:sz w:val="32"/>
          <w:szCs w:val="32"/>
          <w:highlight w:val="none"/>
          <w:lang w:val="en-US" w:eastAsia="zh-CN"/>
        </w:rPr>
        <w:t>81571</w:t>
      </w:r>
      <w:r>
        <w:rPr>
          <w:rFonts w:hint="eastAsia" w:ascii="仿宋_GB2312" w:hAnsi="仿宋" w:eastAsia="仿宋_GB2312"/>
          <w:kern w:val="0"/>
          <w:sz w:val="32"/>
          <w:szCs w:val="32"/>
          <w:highlight w:val="none"/>
        </w:rPr>
        <w:t>万元，其中税收收入完成</w:t>
      </w:r>
      <w:r>
        <w:rPr>
          <w:rFonts w:hint="eastAsia" w:ascii="仿宋_GB2312" w:hAnsi="仿宋" w:eastAsia="仿宋_GB2312"/>
          <w:kern w:val="0"/>
          <w:sz w:val="32"/>
          <w:szCs w:val="32"/>
          <w:highlight w:val="none"/>
          <w:lang w:val="en-US" w:eastAsia="zh-CN"/>
        </w:rPr>
        <w:t>53719</w:t>
      </w:r>
      <w:r>
        <w:rPr>
          <w:rFonts w:hint="eastAsia" w:ascii="仿宋_GB2312" w:hAnsi="仿宋" w:eastAsia="仿宋_GB2312"/>
          <w:kern w:val="0"/>
          <w:sz w:val="32"/>
          <w:szCs w:val="32"/>
          <w:highlight w:val="none"/>
        </w:rPr>
        <w:t>万元；非税收入完成</w:t>
      </w:r>
      <w:r>
        <w:rPr>
          <w:rFonts w:ascii="仿宋_GB2312" w:hAnsi="仿宋" w:eastAsia="仿宋_GB2312"/>
          <w:kern w:val="0"/>
          <w:sz w:val="32"/>
          <w:szCs w:val="32"/>
          <w:highlight w:val="none"/>
        </w:rPr>
        <w:t>2</w:t>
      </w:r>
      <w:r>
        <w:rPr>
          <w:rFonts w:hint="eastAsia" w:ascii="仿宋_GB2312" w:hAnsi="仿宋" w:eastAsia="仿宋_GB2312"/>
          <w:kern w:val="0"/>
          <w:sz w:val="32"/>
          <w:szCs w:val="32"/>
          <w:highlight w:val="none"/>
          <w:lang w:val="en-US" w:eastAsia="zh-CN"/>
        </w:rPr>
        <w:t>7852</w:t>
      </w:r>
      <w:r>
        <w:rPr>
          <w:rFonts w:hint="eastAsia" w:ascii="仿宋_GB2312" w:hAnsi="仿宋" w:eastAsia="仿宋_GB2312"/>
          <w:kern w:val="0"/>
          <w:sz w:val="32"/>
          <w:szCs w:val="32"/>
          <w:highlight w:val="none"/>
        </w:rPr>
        <w:t>万元。县本级一般公共预算支出完成</w:t>
      </w:r>
      <w:r>
        <w:rPr>
          <w:rFonts w:hint="eastAsia" w:ascii="仿宋_GB2312" w:hAnsi="仿宋" w:eastAsia="仿宋_GB2312"/>
          <w:kern w:val="0"/>
          <w:sz w:val="32"/>
          <w:szCs w:val="32"/>
          <w:highlight w:val="none"/>
          <w:lang w:val="en-US" w:eastAsia="zh-CN"/>
        </w:rPr>
        <w:t>528925</w:t>
      </w:r>
      <w:r>
        <w:rPr>
          <w:rFonts w:hint="eastAsia" w:ascii="仿宋_GB2312" w:hAnsi="仿宋" w:eastAsia="仿宋_GB2312"/>
          <w:kern w:val="0"/>
          <w:sz w:val="32"/>
          <w:szCs w:val="32"/>
          <w:highlight w:val="none"/>
        </w:rPr>
        <w:t>万元。</w:t>
      </w:r>
    </w:p>
    <w:p>
      <w:pPr>
        <w:adjustRightInd w:val="0"/>
        <w:spacing w:line="580" w:lineRule="exact"/>
        <w:ind w:firstLine="643" w:firstLineChars="200"/>
        <w:rPr>
          <w:rFonts w:ascii="仿宋_GB2312" w:hAnsi="仿宋" w:eastAsia="仿宋_GB2312"/>
          <w:kern w:val="0"/>
          <w:sz w:val="32"/>
          <w:szCs w:val="32"/>
        </w:rPr>
      </w:pPr>
      <w:r>
        <w:rPr>
          <w:rFonts w:ascii="楷体_GB2312" w:hAnsi="楷体" w:eastAsia="楷体_GB2312" w:cs="宋体"/>
          <w:b/>
          <w:kern w:val="0"/>
          <w:sz w:val="32"/>
          <w:szCs w:val="32"/>
        </w:rPr>
        <w:t>——</w:t>
      </w:r>
      <w:r>
        <w:rPr>
          <w:rFonts w:hint="eastAsia" w:ascii="楷体_GB2312" w:hAnsi="楷体" w:eastAsia="楷体_GB2312" w:cs="宋体"/>
          <w:b/>
          <w:kern w:val="0"/>
          <w:sz w:val="32"/>
          <w:szCs w:val="32"/>
        </w:rPr>
        <w:t>政府性基金预算完成情况。</w:t>
      </w:r>
      <w:r>
        <w:rPr>
          <w:rFonts w:hint="eastAsia" w:ascii="仿宋_GB2312" w:hAnsi="仿宋" w:eastAsia="仿宋_GB2312"/>
          <w:kern w:val="0"/>
          <w:sz w:val="32"/>
          <w:szCs w:val="32"/>
        </w:rPr>
        <w:t>全县政府性基金预算收入完成</w:t>
      </w:r>
      <w:r>
        <w:rPr>
          <w:rFonts w:hint="eastAsia" w:ascii="仿宋_GB2312" w:hAnsi="仿宋" w:eastAsia="仿宋_GB2312"/>
          <w:kern w:val="0"/>
          <w:sz w:val="32"/>
          <w:szCs w:val="32"/>
          <w:lang w:val="en-US" w:eastAsia="zh-CN"/>
        </w:rPr>
        <w:t>203266</w:t>
      </w:r>
      <w:r>
        <w:rPr>
          <w:rFonts w:hint="eastAsia" w:ascii="仿宋_GB2312" w:hAnsi="仿宋" w:eastAsia="仿宋_GB2312"/>
          <w:kern w:val="0"/>
          <w:sz w:val="32"/>
          <w:szCs w:val="32"/>
        </w:rPr>
        <w:t>万元，占调整预算的</w:t>
      </w:r>
      <w:r>
        <w:rPr>
          <w:rFonts w:hint="eastAsia" w:ascii="仿宋_GB2312" w:hAnsi="仿宋" w:eastAsia="仿宋_GB2312"/>
          <w:kern w:val="0"/>
          <w:sz w:val="32"/>
          <w:szCs w:val="32"/>
          <w:lang w:val="en-US" w:eastAsia="zh-CN"/>
        </w:rPr>
        <w:t>99.9</w:t>
      </w:r>
      <w:r>
        <w:rPr>
          <w:rFonts w:ascii="仿宋_GB2312" w:hAnsi="仿宋" w:eastAsia="仿宋_GB2312"/>
          <w:kern w:val="0"/>
          <w:sz w:val="32"/>
          <w:szCs w:val="32"/>
        </w:rPr>
        <w:t>%</w:t>
      </w:r>
      <w:r>
        <w:rPr>
          <w:rFonts w:hint="eastAsia" w:ascii="仿宋_GB2312" w:hAnsi="仿宋" w:eastAsia="仿宋_GB2312"/>
          <w:kern w:val="0"/>
          <w:sz w:val="32"/>
          <w:szCs w:val="32"/>
        </w:rPr>
        <w:t>。政府性基金支出完成</w:t>
      </w:r>
      <w:r>
        <w:rPr>
          <w:rFonts w:hint="eastAsia" w:ascii="仿宋_GB2312" w:hAnsi="仿宋" w:eastAsia="仿宋_GB2312"/>
          <w:kern w:val="0"/>
          <w:sz w:val="32"/>
          <w:szCs w:val="32"/>
          <w:lang w:val="en-US" w:eastAsia="zh-CN"/>
        </w:rPr>
        <w:t>203266</w:t>
      </w:r>
      <w:r>
        <w:rPr>
          <w:rFonts w:hint="eastAsia" w:ascii="仿宋_GB2312" w:hAnsi="仿宋" w:eastAsia="仿宋_GB2312"/>
          <w:kern w:val="0"/>
          <w:sz w:val="32"/>
          <w:szCs w:val="32"/>
        </w:rPr>
        <w:t>万元，占调整预算的</w:t>
      </w:r>
      <w:r>
        <w:rPr>
          <w:rFonts w:hint="eastAsia" w:ascii="仿宋_GB2312" w:hAnsi="仿宋" w:eastAsia="仿宋_GB2312"/>
          <w:kern w:val="0"/>
          <w:sz w:val="32"/>
          <w:szCs w:val="32"/>
          <w:lang w:val="en-US" w:eastAsia="zh-CN"/>
        </w:rPr>
        <w:t>99.9</w:t>
      </w:r>
      <w:r>
        <w:rPr>
          <w:rFonts w:ascii="仿宋_GB2312" w:hAnsi="仿宋" w:eastAsia="仿宋_GB2312"/>
          <w:kern w:val="0"/>
          <w:sz w:val="32"/>
          <w:szCs w:val="32"/>
        </w:rPr>
        <w:t>%</w:t>
      </w:r>
      <w:r>
        <w:rPr>
          <w:rFonts w:hint="eastAsia" w:ascii="仿宋_GB2312" w:hAnsi="仿宋" w:eastAsia="仿宋_GB2312"/>
          <w:kern w:val="0"/>
          <w:sz w:val="32"/>
          <w:szCs w:val="32"/>
        </w:rPr>
        <w:t>。</w:t>
      </w:r>
    </w:p>
    <w:p>
      <w:pPr>
        <w:pStyle w:val="16"/>
        <w:spacing w:line="580" w:lineRule="exact"/>
        <w:ind w:firstLine="31680"/>
        <w:rPr>
          <w:rFonts w:ascii="仿宋_GB2312" w:hAnsi="仿宋" w:eastAsia="仿宋_GB2312"/>
          <w:sz w:val="32"/>
          <w:szCs w:val="32"/>
        </w:rPr>
      </w:pPr>
      <w:r>
        <w:rPr>
          <w:rFonts w:hint="eastAsia" w:ascii="仿宋_GB2312" w:hAnsi="仿宋" w:eastAsia="仿宋_GB2312"/>
          <w:b/>
          <w:bCs/>
          <w:kern w:val="0"/>
          <w:sz w:val="32"/>
          <w:szCs w:val="32"/>
        </w:rPr>
        <w:t>收支平衡情况</w:t>
      </w:r>
      <w:r>
        <w:rPr>
          <w:rFonts w:hint="eastAsia" w:ascii="仿宋_GB2312" w:hAnsi="仿宋" w:eastAsia="仿宋_GB2312"/>
          <w:kern w:val="0"/>
          <w:sz w:val="32"/>
          <w:szCs w:val="32"/>
        </w:rPr>
        <w:t>：全县政府性基金收入总计</w:t>
      </w:r>
      <w:r>
        <w:rPr>
          <w:rFonts w:hint="eastAsia" w:ascii="仿宋_GB2312" w:hAnsi="仿宋" w:eastAsia="仿宋_GB2312"/>
          <w:kern w:val="0"/>
          <w:sz w:val="32"/>
          <w:szCs w:val="32"/>
          <w:lang w:val="en-US" w:eastAsia="zh-CN"/>
        </w:rPr>
        <w:t>203266</w:t>
      </w:r>
      <w:r>
        <w:rPr>
          <w:rFonts w:hint="eastAsia" w:ascii="仿宋_GB2312" w:hAnsi="仿宋" w:eastAsia="仿宋_GB2312"/>
          <w:kern w:val="0"/>
          <w:sz w:val="32"/>
          <w:szCs w:val="32"/>
        </w:rPr>
        <w:t>万元，其中：县本级收入完成</w:t>
      </w:r>
      <w:r>
        <w:rPr>
          <w:rFonts w:hint="eastAsia" w:ascii="仿宋_GB2312" w:hAnsi="仿宋" w:eastAsia="仿宋_GB2312"/>
          <w:kern w:val="0"/>
          <w:sz w:val="32"/>
          <w:szCs w:val="32"/>
          <w:lang w:val="en-US" w:eastAsia="zh-CN"/>
        </w:rPr>
        <w:t>100319</w:t>
      </w:r>
      <w:r>
        <w:rPr>
          <w:rFonts w:hint="eastAsia" w:ascii="仿宋_GB2312" w:hAnsi="仿宋" w:eastAsia="仿宋_GB2312"/>
          <w:kern w:val="0"/>
          <w:sz w:val="32"/>
          <w:szCs w:val="32"/>
        </w:rPr>
        <w:t>万元，上年结转收入</w:t>
      </w:r>
      <w:r>
        <w:rPr>
          <w:rFonts w:hint="eastAsia" w:ascii="仿宋_GB2312" w:hAnsi="仿宋" w:eastAsia="仿宋_GB2312"/>
          <w:kern w:val="0"/>
          <w:sz w:val="32"/>
          <w:szCs w:val="32"/>
          <w:lang w:val="en-US" w:eastAsia="zh-CN"/>
        </w:rPr>
        <w:t>3264</w:t>
      </w:r>
      <w:r>
        <w:rPr>
          <w:rFonts w:hint="eastAsia" w:ascii="仿宋_GB2312" w:hAnsi="仿宋" w:eastAsia="仿宋_GB2312"/>
          <w:kern w:val="0"/>
          <w:sz w:val="32"/>
          <w:szCs w:val="32"/>
        </w:rPr>
        <w:t>万元，上级专项转移支付</w:t>
      </w:r>
      <w:r>
        <w:rPr>
          <w:rFonts w:hint="eastAsia" w:ascii="仿宋_GB2312" w:hAnsi="仿宋" w:eastAsia="仿宋_GB2312"/>
          <w:kern w:val="0"/>
          <w:sz w:val="32"/>
          <w:szCs w:val="32"/>
          <w:lang w:val="en-US" w:eastAsia="zh-CN"/>
        </w:rPr>
        <w:t>14981</w:t>
      </w:r>
      <w:r>
        <w:rPr>
          <w:rFonts w:hint="eastAsia" w:ascii="仿宋_GB2312" w:hAnsi="仿宋" w:eastAsia="仿宋_GB2312"/>
          <w:kern w:val="0"/>
          <w:sz w:val="32"/>
          <w:szCs w:val="32"/>
        </w:rPr>
        <w:t>万元，新增专项债券收入</w:t>
      </w:r>
      <w:r>
        <w:rPr>
          <w:rFonts w:hint="eastAsia" w:ascii="仿宋_GB2312" w:hAnsi="仿宋" w:eastAsia="仿宋_GB2312"/>
          <w:kern w:val="0"/>
          <w:sz w:val="32"/>
          <w:szCs w:val="32"/>
          <w:lang w:val="en-US" w:eastAsia="zh-CN"/>
        </w:rPr>
        <w:t>22600</w:t>
      </w:r>
      <w:r>
        <w:rPr>
          <w:rFonts w:hint="eastAsia" w:ascii="仿宋_GB2312" w:hAnsi="仿宋" w:eastAsia="仿宋_GB2312"/>
          <w:kern w:val="0"/>
          <w:sz w:val="32"/>
          <w:szCs w:val="32"/>
        </w:rPr>
        <w:t>万元，再融资债券收入</w:t>
      </w:r>
      <w:r>
        <w:rPr>
          <w:rFonts w:hint="eastAsia" w:ascii="仿宋_GB2312" w:hAnsi="仿宋" w:eastAsia="仿宋_GB2312"/>
          <w:kern w:val="0"/>
          <w:sz w:val="32"/>
          <w:szCs w:val="32"/>
          <w:lang w:val="en-US" w:eastAsia="zh-CN"/>
        </w:rPr>
        <w:t>57300</w:t>
      </w:r>
      <w:r>
        <w:rPr>
          <w:rFonts w:hint="eastAsia" w:ascii="仿宋_GB2312" w:hAnsi="仿宋" w:eastAsia="仿宋_GB2312"/>
          <w:kern w:val="0"/>
          <w:sz w:val="32"/>
          <w:szCs w:val="32"/>
        </w:rPr>
        <w:t>万元</w:t>
      </w:r>
      <w:r>
        <w:rPr>
          <w:rFonts w:hint="eastAsia" w:ascii="仿宋_GB2312" w:hAnsi="仿宋" w:eastAsia="仿宋_GB2312"/>
          <w:kern w:val="0"/>
          <w:sz w:val="32"/>
          <w:szCs w:val="32"/>
          <w:lang w:val="en-US" w:eastAsia="zh-CN"/>
        </w:rPr>
        <w:t>,调入资金4802万元</w:t>
      </w:r>
      <w:r>
        <w:rPr>
          <w:rFonts w:hint="eastAsia" w:ascii="仿宋_GB2312" w:hAnsi="仿宋" w:eastAsia="仿宋_GB2312"/>
          <w:kern w:val="0"/>
          <w:sz w:val="32"/>
          <w:szCs w:val="32"/>
        </w:rPr>
        <w:t>；支出总计</w:t>
      </w:r>
      <w:r>
        <w:rPr>
          <w:rFonts w:hint="eastAsia" w:ascii="仿宋_GB2312" w:hAnsi="仿宋" w:eastAsia="仿宋_GB2312"/>
          <w:kern w:val="0"/>
          <w:sz w:val="32"/>
          <w:szCs w:val="32"/>
          <w:lang w:val="en-US" w:eastAsia="zh-CN"/>
        </w:rPr>
        <w:t>203266</w:t>
      </w:r>
      <w:r>
        <w:rPr>
          <w:rFonts w:hint="eastAsia" w:ascii="仿宋_GB2312" w:hAnsi="仿宋" w:eastAsia="仿宋_GB2312"/>
          <w:kern w:val="0"/>
          <w:sz w:val="32"/>
          <w:szCs w:val="32"/>
        </w:rPr>
        <w:t>万元，其中：政府性基金本级支出</w:t>
      </w:r>
      <w:r>
        <w:rPr>
          <w:rFonts w:hint="eastAsia" w:ascii="仿宋_GB2312" w:hAnsi="仿宋" w:eastAsia="仿宋_GB2312"/>
          <w:kern w:val="0"/>
          <w:sz w:val="32"/>
          <w:szCs w:val="32"/>
          <w:lang w:val="en-US" w:eastAsia="zh-CN"/>
        </w:rPr>
        <w:t>85927</w:t>
      </w:r>
      <w:r>
        <w:rPr>
          <w:rFonts w:hint="eastAsia" w:ascii="仿宋_GB2312" w:hAnsi="仿宋" w:eastAsia="仿宋_GB2312"/>
          <w:kern w:val="0"/>
          <w:sz w:val="32"/>
          <w:szCs w:val="32"/>
        </w:rPr>
        <w:t>万元，债务还本</w:t>
      </w:r>
      <w:r>
        <w:rPr>
          <w:rFonts w:hint="eastAsia" w:ascii="仿宋_GB2312" w:hAnsi="仿宋" w:eastAsia="仿宋_GB2312"/>
          <w:kern w:val="0"/>
          <w:sz w:val="32"/>
          <w:szCs w:val="32"/>
          <w:lang w:val="en-US" w:eastAsia="zh-CN"/>
        </w:rPr>
        <w:t>59500</w:t>
      </w:r>
      <w:r>
        <w:rPr>
          <w:rFonts w:hint="eastAsia" w:ascii="仿宋_GB2312" w:hAnsi="仿宋" w:eastAsia="仿宋_GB2312"/>
          <w:kern w:val="0"/>
          <w:sz w:val="32"/>
          <w:szCs w:val="32"/>
        </w:rPr>
        <w:t>万元；结转下年支出</w:t>
      </w:r>
      <w:r>
        <w:rPr>
          <w:rFonts w:hint="eastAsia" w:ascii="仿宋_GB2312" w:hAnsi="仿宋" w:eastAsia="仿宋_GB2312"/>
          <w:kern w:val="0"/>
          <w:sz w:val="32"/>
          <w:szCs w:val="32"/>
          <w:lang w:val="en-US" w:eastAsia="zh-CN"/>
        </w:rPr>
        <w:t>13037</w:t>
      </w:r>
      <w:r>
        <w:rPr>
          <w:rFonts w:hint="eastAsia" w:ascii="仿宋_GB2312" w:hAnsi="仿宋" w:eastAsia="仿宋_GB2312"/>
          <w:kern w:val="0"/>
          <w:sz w:val="32"/>
          <w:szCs w:val="32"/>
        </w:rPr>
        <w:t>万元，</w:t>
      </w:r>
      <w:r>
        <w:rPr>
          <w:rFonts w:hint="eastAsia" w:ascii="仿宋_GB2312" w:hAnsi="仿宋" w:eastAsia="仿宋_GB2312"/>
          <w:kern w:val="0"/>
          <w:sz w:val="32"/>
          <w:szCs w:val="32"/>
          <w:lang w:eastAsia="zh-CN"/>
        </w:rPr>
        <w:t>调入一般预算</w:t>
      </w:r>
      <w:r>
        <w:rPr>
          <w:rFonts w:hint="eastAsia" w:ascii="仿宋_GB2312" w:hAnsi="仿宋" w:eastAsia="仿宋_GB2312"/>
          <w:kern w:val="0"/>
          <w:sz w:val="32"/>
          <w:szCs w:val="32"/>
          <w:lang w:val="en-US" w:eastAsia="zh-CN"/>
        </w:rPr>
        <w:t>44802万元，</w:t>
      </w:r>
      <w:r>
        <w:rPr>
          <w:rFonts w:hint="eastAsia" w:ascii="仿宋_GB2312" w:hAnsi="仿宋" w:eastAsia="仿宋_GB2312"/>
          <w:kern w:val="0"/>
          <w:sz w:val="32"/>
          <w:szCs w:val="32"/>
        </w:rPr>
        <w:t>当年实现收支平衡。</w:t>
      </w:r>
    </w:p>
    <w:p>
      <w:pPr>
        <w:adjustRightInd w:val="0"/>
        <w:spacing w:line="58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县本级政府基金预算完成情况与全县总预算相同。</w:t>
      </w:r>
    </w:p>
    <w:p>
      <w:pPr>
        <w:adjustRightInd w:val="0"/>
        <w:spacing w:line="580" w:lineRule="exact"/>
        <w:ind w:firstLine="643" w:firstLineChars="200"/>
        <w:rPr>
          <w:rFonts w:ascii="仿宋_GB2312" w:hAnsi="仿宋" w:eastAsia="仿宋_GB2312"/>
          <w:kern w:val="0"/>
          <w:sz w:val="32"/>
          <w:szCs w:val="32"/>
        </w:rPr>
      </w:pPr>
      <w:r>
        <w:rPr>
          <w:rFonts w:ascii="楷体_GB2312" w:hAnsi="楷体" w:eastAsia="楷体_GB2312" w:cs="宋体"/>
          <w:b/>
          <w:kern w:val="0"/>
          <w:sz w:val="32"/>
          <w:szCs w:val="32"/>
        </w:rPr>
        <w:t>——</w:t>
      </w:r>
      <w:r>
        <w:rPr>
          <w:rFonts w:hint="eastAsia" w:ascii="楷体_GB2312" w:hAnsi="楷体" w:eastAsia="楷体_GB2312" w:cs="宋体"/>
          <w:b/>
          <w:kern w:val="0"/>
          <w:sz w:val="32"/>
          <w:szCs w:val="32"/>
        </w:rPr>
        <w:t>社会保险基金预算完成情况。</w:t>
      </w:r>
      <w:r>
        <w:rPr>
          <w:rFonts w:hint="eastAsia" w:ascii="仿宋_GB2312" w:hAnsi="仿宋" w:eastAsia="仿宋_GB2312"/>
          <w:kern w:val="0"/>
          <w:sz w:val="32"/>
          <w:szCs w:val="32"/>
        </w:rPr>
        <w:t>社会保险基金预算收入完成</w:t>
      </w:r>
      <w:r>
        <w:rPr>
          <w:rFonts w:hint="eastAsia" w:ascii="仿宋_GB2312" w:hAnsi="仿宋" w:eastAsia="仿宋_GB2312"/>
          <w:kern w:val="0"/>
          <w:sz w:val="32"/>
          <w:szCs w:val="32"/>
          <w:lang w:val="en-US" w:eastAsia="zh-CN"/>
        </w:rPr>
        <w:t>58179</w:t>
      </w:r>
      <w:r>
        <w:rPr>
          <w:rFonts w:hint="eastAsia" w:ascii="仿宋_GB2312" w:hAnsi="仿宋" w:eastAsia="仿宋_GB2312"/>
          <w:kern w:val="0"/>
          <w:sz w:val="32"/>
          <w:szCs w:val="32"/>
        </w:rPr>
        <w:t>万元，占调整预算的</w:t>
      </w:r>
      <w:r>
        <w:rPr>
          <w:rFonts w:ascii="仿宋_GB2312" w:hAnsi="仿宋" w:eastAsia="仿宋_GB2312"/>
          <w:kern w:val="0"/>
          <w:sz w:val="32"/>
          <w:szCs w:val="32"/>
        </w:rPr>
        <w:t>100%</w:t>
      </w:r>
      <w:r>
        <w:rPr>
          <w:rFonts w:hint="eastAsia" w:ascii="仿宋_GB2312" w:hAnsi="仿宋" w:eastAsia="仿宋_GB2312"/>
          <w:kern w:val="0"/>
          <w:sz w:val="32"/>
          <w:szCs w:val="32"/>
        </w:rPr>
        <w:t>；社会保险基金支出完成</w:t>
      </w:r>
      <w:r>
        <w:rPr>
          <w:rFonts w:hint="eastAsia" w:ascii="仿宋_GB2312" w:hAnsi="仿宋" w:eastAsia="仿宋_GB2312"/>
          <w:kern w:val="0"/>
          <w:sz w:val="32"/>
          <w:szCs w:val="32"/>
          <w:lang w:val="en-US" w:eastAsia="zh-CN"/>
        </w:rPr>
        <w:t>55086</w:t>
      </w:r>
      <w:r>
        <w:rPr>
          <w:rFonts w:hint="eastAsia" w:ascii="仿宋_GB2312" w:hAnsi="仿宋" w:eastAsia="仿宋_GB2312"/>
          <w:kern w:val="0"/>
          <w:sz w:val="32"/>
          <w:szCs w:val="32"/>
        </w:rPr>
        <w:t>万元，占调整预算的</w:t>
      </w:r>
      <w:r>
        <w:rPr>
          <w:rFonts w:ascii="仿宋_GB2312" w:hAnsi="仿宋" w:eastAsia="仿宋_GB2312"/>
          <w:kern w:val="0"/>
          <w:sz w:val="32"/>
          <w:szCs w:val="32"/>
        </w:rPr>
        <w:t>100%</w:t>
      </w:r>
      <w:r>
        <w:rPr>
          <w:rFonts w:hint="eastAsia" w:ascii="仿宋_GB2312" w:hAnsi="仿宋" w:eastAsia="仿宋_GB2312"/>
          <w:kern w:val="0"/>
          <w:sz w:val="32"/>
          <w:szCs w:val="32"/>
        </w:rPr>
        <w:t>。</w:t>
      </w:r>
    </w:p>
    <w:p>
      <w:pPr>
        <w:adjustRightInd w:val="0"/>
        <w:spacing w:line="58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县本级社保基金预算完成情况与全县总预算相同。</w:t>
      </w:r>
    </w:p>
    <w:p>
      <w:pPr>
        <w:adjustRightInd w:val="0"/>
        <w:spacing w:line="580" w:lineRule="exact"/>
        <w:ind w:firstLine="643" w:firstLineChars="200"/>
        <w:rPr>
          <w:rFonts w:ascii="仿宋_GB2312" w:hAnsi="仿宋" w:eastAsia="仿宋_GB2312"/>
          <w:spacing w:val="-10"/>
          <w:kern w:val="0"/>
          <w:sz w:val="32"/>
          <w:szCs w:val="32"/>
        </w:rPr>
      </w:pPr>
      <w:r>
        <w:rPr>
          <w:rFonts w:ascii="楷体_GB2312" w:hAnsi="楷体" w:eastAsia="楷体_GB2312" w:cs="宋体"/>
          <w:b/>
          <w:kern w:val="0"/>
          <w:sz w:val="32"/>
          <w:szCs w:val="32"/>
        </w:rPr>
        <w:t>——</w:t>
      </w:r>
      <w:r>
        <w:rPr>
          <w:rFonts w:hint="eastAsia" w:ascii="楷体_GB2312" w:hAnsi="楷体" w:eastAsia="楷体_GB2312" w:cs="宋体"/>
          <w:b/>
          <w:kern w:val="0"/>
          <w:sz w:val="32"/>
          <w:szCs w:val="32"/>
        </w:rPr>
        <w:t>国有资本经营预算完成情况。</w:t>
      </w:r>
      <w:r>
        <w:rPr>
          <w:rFonts w:hint="eastAsia" w:ascii="仿宋_GB2312" w:hAnsi="仿宋" w:eastAsia="仿宋_GB2312"/>
          <w:spacing w:val="-10"/>
          <w:kern w:val="0"/>
          <w:sz w:val="32"/>
          <w:szCs w:val="32"/>
        </w:rPr>
        <w:t>国有资本经营预算收入完成</w:t>
      </w:r>
      <w:r>
        <w:rPr>
          <w:rFonts w:hint="eastAsia" w:ascii="仿宋_GB2312" w:hAnsi="仿宋" w:eastAsia="仿宋_GB2312"/>
          <w:spacing w:val="-10"/>
          <w:kern w:val="0"/>
          <w:sz w:val="32"/>
          <w:szCs w:val="32"/>
          <w:lang w:val="en-US" w:eastAsia="zh-CN"/>
        </w:rPr>
        <w:t>18966</w:t>
      </w:r>
      <w:r>
        <w:rPr>
          <w:rFonts w:hint="eastAsia" w:ascii="仿宋_GB2312" w:hAnsi="仿宋" w:eastAsia="仿宋_GB2312"/>
          <w:spacing w:val="-10"/>
          <w:kern w:val="0"/>
          <w:sz w:val="32"/>
          <w:szCs w:val="32"/>
        </w:rPr>
        <w:t>万元，支出完成</w:t>
      </w:r>
      <w:r>
        <w:rPr>
          <w:rFonts w:hint="eastAsia" w:ascii="仿宋_GB2312" w:hAnsi="仿宋" w:eastAsia="仿宋_GB2312"/>
          <w:spacing w:val="-10"/>
          <w:kern w:val="0"/>
          <w:sz w:val="32"/>
          <w:szCs w:val="32"/>
          <w:lang w:val="en-US" w:eastAsia="zh-CN"/>
        </w:rPr>
        <w:t>18966</w:t>
      </w:r>
      <w:r>
        <w:rPr>
          <w:rFonts w:hint="eastAsia" w:ascii="仿宋_GB2312" w:hAnsi="仿宋" w:eastAsia="仿宋_GB2312"/>
          <w:spacing w:val="-10"/>
          <w:kern w:val="0"/>
          <w:sz w:val="32"/>
          <w:szCs w:val="32"/>
        </w:rPr>
        <w:t>万元。</w:t>
      </w:r>
    </w:p>
    <w:p>
      <w:pPr>
        <w:adjustRightInd w:val="0"/>
        <w:spacing w:line="58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由于上级正式结算单尚未下达，上述预算收支情况为预计数，待省级财政批复决算后，再向县人大常委会报告最终决算情况。</w:t>
      </w:r>
    </w:p>
    <w:p>
      <w:pPr>
        <w:adjustRightInd w:val="0"/>
        <w:spacing w:line="580" w:lineRule="exact"/>
        <w:ind w:firstLine="640" w:firstLineChars="200"/>
      </w:pPr>
      <w:r>
        <w:rPr>
          <w:rFonts w:hint="eastAsia" w:ascii="仿宋_GB2312" w:hAnsi="仿宋" w:eastAsia="仿宋_GB2312"/>
          <w:kern w:val="0"/>
          <w:sz w:val="32"/>
          <w:szCs w:val="32"/>
        </w:rPr>
        <w:t>县本级政府国有资本经营预算完成情况与全县总预算相同。</w:t>
      </w:r>
    </w:p>
    <w:p>
      <w:pPr>
        <w:adjustRightInd w:val="0"/>
        <w:spacing w:line="580" w:lineRule="exact"/>
        <w:ind w:firstLine="643" w:firstLineChars="200"/>
        <w:rPr>
          <w:rFonts w:ascii="楷体_GB2312" w:hAnsi="楷体" w:eastAsia="楷体_GB2312" w:cs="宋体"/>
          <w:b/>
          <w:kern w:val="0"/>
          <w:sz w:val="32"/>
          <w:szCs w:val="32"/>
        </w:rPr>
      </w:pPr>
      <w:r>
        <w:rPr>
          <w:rFonts w:ascii="楷体_GB2312" w:hAnsi="楷体" w:eastAsia="楷体_GB2312" w:cs="宋体"/>
          <w:b/>
          <w:kern w:val="0"/>
          <w:sz w:val="32"/>
          <w:szCs w:val="32"/>
        </w:rPr>
        <w:t>——</w:t>
      </w:r>
      <w:r>
        <w:rPr>
          <w:rFonts w:hint="eastAsia" w:ascii="楷体_GB2312" w:hAnsi="楷体" w:eastAsia="楷体_GB2312" w:cs="宋体"/>
          <w:b/>
          <w:kern w:val="0"/>
          <w:sz w:val="32"/>
          <w:szCs w:val="32"/>
        </w:rPr>
        <w:t>政府债务情况</w:t>
      </w:r>
    </w:p>
    <w:p>
      <w:pPr>
        <w:spacing w:line="580" w:lineRule="exact"/>
        <w:ind w:firstLine="643" w:firstLineChars="200"/>
        <w:rPr>
          <w:rFonts w:ascii="仿宋_GB2312" w:hAnsi="仿宋" w:eastAsia="仿宋_GB2312" w:cs="宋体"/>
          <w:b/>
          <w:kern w:val="0"/>
          <w:sz w:val="32"/>
          <w:szCs w:val="32"/>
        </w:rPr>
      </w:pPr>
      <w:r>
        <w:rPr>
          <w:rFonts w:ascii="仿宋_GB2312" w:hAnsi="仿宋" w:eastAsia="仿宋_GB2312" w:cs="宋体"/>
          <w:b/>
          <w:kern w:val="0"/>
          <w:sz w:val="32"/>
          <w:szCs w:val="32"/>
        </w:rPr>
        <w:t>1</w:t>
      </w:r>
      <w:r>
        <w:rPr>
          <w:rFonts w:hint="eastAsia" w:ascii="仿宋_GB2312" w:hAnsi="仿宋" w:eastAsia="仿宋_GB2312" w:cs="宋体"/>
          <w:b/>
          <w:kern w:val="0"/>
          <w:sz w:val="32"/>
          <w:szCs w:val="32"/>
        </w:rPr>
        <w:t>、</w:t>
      </w:r>
      <w:r>
        <w:rPr>
          <w:rFonts w:ascii="仿宋_GB2312" w:hAnsi="仿宋" w:eastAsia="仿宋_GB2312" w:cs="宋体"/>
          <w:b/>
          <w:kern w:val="0"/>
          <w:sz w:val="32"/>
          <w:szCs w:val="32"/>
        </w:rPr>
        <w:t>202</w:t>
      </w:r>
      <w:r>
        <w:rPr>
          <w:rFonts w:hint="eastAsia" w:ascii="仿宋_GB2312" w:hAnsi="仿宋" w:eastAsia="仿宋_GB2312" w:cs="宋体"/>
          <w:b/>
          <w:kern w:val="0"/>
          <w:sz w:val="32"/>
          <w:szCs w:val="32"/>
          <w:lang w:val="en-US" w:eastAsia="zh-CN"/>
        </w:rPr>
        <w:t>4</w:t>
      </w:r>
      <w:r>
        <w:rPr>
          <w:rFonts w:hint="eastAsia" w:ascii="仿宋_GB2312" w:hAnsi="仿宋" w:eastAsia="仿宋_GB2312" w:cs="宋体"/>
          <w:b/>
          <w:kern w:val="0"/>
          <w:sz w:val="32"/>
          <w:szCs w:val="32"/>
        </w:rPr>
        <w:t>年新增政府债券基本情况</w:t>
      </w:r>
    </w:p>
    <w:p>
      <w:pPr>
        <w:spacing w:line="56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2024年我县累计争取政府债券资金83200万元，其中新增一般债券23500万元，置换存量隐性债务资金59700万元。主要包括：</w:t>
      </w:r>
    </w:p>
    <w:p>
      <w:pPr>
        <w:spacing w:line="560" w:lineRule="exact"/>
        <w:ind w:firstLine="640" w:firstLineChars="200"/>
        <w:rPr>
          <w:rFonts w:hint="eastAsia" w:ascii="仿宋_GB2312" w:hAnsi="仿宋" w:eastAsia="仿宋_GB2312" w:cs="仿宋_GB2312"/>
          <w:sz w:val="32"/>
          <w:szCs w:val="32"/>
        </w:rPr>
      </w:pPr>
      <w:r>
        <w:rPr>
          <w:rFonts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年新增政府债券资金</w:t>
      </w:r>
      <w:r>
        <w:rPr>
          <w:rFonts w:hint="eastAsia" w:ascii="仿宋_GB2312" w:hAnsi="仿宋" w:eastAsia="仿宋_GB2312"/>
          <w:sz w:val="32"/>
          <w:szCs w:val="32"/>
          <w:lang w:val="en-US" w:eastAsia="zh-CN"/>
        </w:rPr>
        <w:t>46100</w:t>
      </w:r>
      <w:r>
        <w:rPr>
          <w:rFonts w:hint="eastAsia" w:ascii="仿宋_GB2312" w:hAnsi="仿宋" w:eastAsia="仿宋_GB2312"/>
          <w:sz w:val="32"/>
          <w:szCs w:val="32"/>
        </w:rPr>
        <w:t>万元，</w:t>
      </w:r>
      <w:r>
        <w:rPr>
          <w:rFonts w:hint="eastAsia" w:ascii="仿宋_GB2312" w:hAnsi="仿宋" w:eastAsia="仿宋_GB2312" w:cs="仿宋_GB2312"/>
          <w:sz w:val="32"/>
          <w:szCs w:val="32"/>
        </w:rPr>
        <w:t>新增债务限额及债务限额分配方案已经人大常委会审议通过纳入预算管理，安排一般债券资金</w:t>
      </w:r>
      <w:r>
        <w:rPr>
          <w:rFonts w:ascii="仿宋_GB2312" w:hAnsi="仿宋" w:eastAsia="仿宋_GB2312" w:cs="仿宋_GB2312"/>
          <w:sz w:val="32"/>
          <w:szCs w:val="32"/>
        </w:rPr>
        <w:t>2</w:t>
      </w:r>
      <w:r>
        <w:rPr>
          <w:rFonts w:hint="eastAsia" w:ascii="仿宋_GB2312" w:hAnsi="仿宋" w:eastAsia="仿宋_GB2312" w:cs="仿宋_GB2312"/>
          <w:sz w:val="32"/>
          <w:szCs w:val="32"/>
          <w:lang w:val="en-US" w:eastAsia="zh-CN"/>
        </w:rPr>
        <w:t>3500</w:t>
      </w:r>
      <w:r>
        <w:rPr>
          <w:rFonts w:hint="eastAsia" w:ascii="仿宋_GB2312" w:hAnsi="仿宋" w:eastAsia="仿宋_GB2312" w:cs="仿宋_GB2312"/>
          <w:sz w:val="32"/>
          <w:szCs w:val="32"/>
        </w:rPr>
        <w:t>万元，主要用于开发区建设、市政设施、交通、教育等投资领域；安排专项债券资金</w:t>
      </w:r>
      <w:r>
        <w:rPr>
          <w:rFonts w:hint="eastAsia" w:ascii="仿宋_GB2312" w:hAnsi="仿宋" w:eastAsia="仿宋_GB2312" w:cs="仿宋_GB2312"/>
          <w:sz w:val="32"/>
          <w:szCs w:val="32"/>
          <w:lang w:val="en-US" w:eastAsia="zh-CN"/>
        </w:rPr>
        <w:t>22600</w:t>
      </w:r>
      <w:r>
        <w:rPr>
          <w:rFonts w:hint="eastAsia" w:ascii="仿宋_GB2312" w:hAnsi="仿宋" w:eastAsia="仿宋_GB2312" w:cs="仿宋_GB2312"/>
          <w:sz w:val="32"/>
          <w:szCs w:val="32"/>
        </w:rPr>
        <w:t>万元，主要用于</w:t>
      </w:r>
      <w:r>
        <w:rPr>
          <w:rFonts w:hint="eastAsia" w:ascii="仿宋_GB2312" w:hAnsi="仿宋" w:eastAsia="仿宋_GB2312" w:cs="仿宋_GB2312"/>
          <w:sz w:val="32"/>
          <w:szCs w:val="32"/>
          <w:lang w:eastAsia="zh-CN"/>
        </w:rPr>
        <w:t>置换存量隐性债务</w:t>
      </w:r>
      <w:r>
        <w:rPr>
          <w:rFonts w:hint="eastAsia" w:ascii="仿宋_GB2312" w:hAnsi="仿宋" w:eastAsia="仿宋_GB2312" w:cs="仿宋_GB2312"/>
          <w:sz w:val="32"/>
          <w:szCs w:val="32"/>
        </w:rPr>
        <w:t>。</w:t>
      </w:r>
    </w:p>
    <w:p>
      <w:pPr>
        <w:spacing w:line="56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2024年政府再融资债券资金37100万元，用于置换存量隐性债务。</w:t>
      </w:r>
    </w:p>
    <w:p>
      <w:pPr>
        <w:spacing w:line="580" w:lineRule="exact"/>
        <w:ind w:firstLine="643" w:firstLineChars="200"/>
        <w:rPr>
          <w:rFonts w:ascii="仿宋_GB2312" w:hAnsi="仿宋" w:eastAsia="仿宋_GB2312" w:cs="仿宋_GB2312"/>
          <w:b/>
          <w:bCs/>
          <w:sz w:val="32"/>
          <w:szCs w:val="32"/>
        </w:rPr>
      </w:pPr>
      <w:r>
        <w:rPr>
          <w:rFonts w:ascii="仿宋_GB2312" w:hAnsi="仿宋" w:eastAsia="仿宋_GB2312" w:cs="仿宋_GB2312"/>
          <w:b/>
          <w:bCs/>
          <w:sz w:val="32"/>
          <w:szCs w:val="32"/>
        </w:rPr>
        <w:t>2</w:t>
      </w:r>
      <w:r>
        <w:rPr>
          <w:rFonts w:hint="eastAsia" w:ascii="仿宋_GB2312" w:hAnsi="仿宋" w:eastAsia="仿宋_GB2312" w:cs="仿宋_GB2312"/>
          <w:b/>
          <w:bCs/>
          <w:sz w:val="32"/>
          <w:szCs w:val="32"/>
        </w:rPr>
        <w:t>、</w:t>
      </w:r>
      <w:r>
        <w:rPr>
          <w:rFonts w:ascii="仿宋_GB2312" w:hAnsi="仿宋" w:eastAsia="仿宋_GB2312" w:cs="仿宋_GB2312"/>
          <w:b/>
          <w:bCs/>
          <w:sz w:val="32"/>
          <w:szCs w:val="32"/>
        </w:rPr>
        <w:t>202</w:t>
      </w:r>
      <w:r>
        <w:rPr>
          <w:rFonts w:hint="eastAsia" w:ascii="仿宋_GB2312" w:hAnsi="仿宋" w:eastAsia="仿宋_GB2312" w:cs="仿宋_GB2312"/>
          <w:b/>
          <w:bCs/>
          <w:sz w:val="32"/>
          <w:szCs w:val="32"/>
          <w:lang w:val="en-US" w:eastAsia="zh-CN"/>
        </w:rPr>
        <w:t>4</w:t>
      </w:r>
      <w:r>
        <w:rPr>
          <w:rFonts w:hint="eastAsia" w:ascii="仿宋_GB2312" w:hAnsi="仿宋" w:eastAsia="仿宋_GB2312" w:cs="仿宋_GB2312"/>
          <w:b/>
          <w:bCs/>
          <w:sz w:val="32"/>
          <w:szCs w:val="32"/>
        </w:rPr>
        <w:t>年</w:t>
      </w:r>
      <w:r>
        <w:rPr>
          <w:rFonts w:hint="eastAsia" w:ascii="仿宋_GB2312" w:hAnsi="仿宋" w:eastAsia="仿宋_GB2312" w:cs="仿宋_GB2312"/>
          <w:b/>
          <w:bCs/>
          <w:color w:val="000000"/>
          <w:sz w:val="32"/>
          <w:szCs w:val="32"/>
          <w:shd w:val="clear" w:color="auto" w:fill="FFFFFF"/>
        </w:rPr>
        <w:t>政府债务风险防控</w:t>
      </w:r>
    </w:p>
    <w:p>
      <w:pPr>
        <w:spacing w:line="580" w:lineRule="exact"/>
        <w:ind w:firstLine="643" w:firstLineChars="200"/>
        <w:rPr>
          <w:rFonts w:hint="default" w:ascii="仿宋_GB2312" w:hAnsi="仿宋" w:eastAsia="仿宋_GB2312" w:cs="仿宋_GB2312"/>
          <w:sz w:val="32"/>
          <w:szCs w:val="32"/>
          <w:highlight w:val="yellow"/>
          <w:lang w:val="en-US" w:eastAsia="zh-CN"/>
        </w:rPr>
      </w:pPr>
      <w:r>
        <w:rPr>
          <w:rFonts w:hint="eastAsia" w:ascii="仿宋_GB2312" w:hAnsi="仿宋" w:eastAsia="仿宋_GB2312" w:cs="仿宋_GB2312"/>
          <w:b/>
          <w:bCs/>
          <w:sz w:val="32"/>
          <w:szCs w:val="32"/>
        </w:rPr>
        <w:t>一是政府债务风险化解规划落实情况</w:t>
      </w:r>
      <w:r>
        <w:rPr>
          <w:rFonts w:hint="eastAsia" w:ascii="仿宋_GB2312" w:hAnsi="仿宋" w:eastAsia="仿宋_GB2312" w:cs="仿宋_GB2312"/>
          <w:sz w:val="32"/>
          <w:szCs w:val="32"/>
        </w:rPr>
        <w:t>。</w:t>
      </w:r>
      <w:r>
        <w:rPr>
          <w:rFonts w:hint="eastAsia" w:ascii="仿宋_GB2312" w:hAnsi="仿宋" w:eastAsia="仿宋_GB2312"/>
          <w:sz w:val="32"/>
          <w:szCs w:val="32"/>
        </w:rPr>
        <w:t>根据总体情况来看，债务风险水平平稳可控，处于</w:t>
      </w:r>
      <w:r>
        <w:rPr>
          <w:rFonts w:hint="eastAsia" w:ascii="仿宋_GB2312" w:hAnsi="仿宋" w:eastAsia="仿宋_GB2312"/>
          <w:kern w:val="0"/>
          <w:sz w:val="32"/>
          <w:szCs w:val="32"/>
        </w:rPr>
        <w:t>绿色等级，</w:t>
      </w:r>
      <w:r>
        <w:rPr>
          <w:rFonts w:hint="eastAsia" w:ascii="仿宋_GB2312" w:hAnsi="仿宋" w:eastAsia="仿宋_GB2312"/>
          <w:sz w:val="32"/>
          <w:szCs w:val="32"/>
        </w:rPr>
        <w:t>不会发生区域性、系统性财政金融风险。</w:t>
      </w:r>
      <w:r>
        <w:rPr>
          <w:rFonts w:hint="eastAsia" w:ascii="仿宋_GB2312" w:hAnsi="仿宋" w:eastAsia="仿宋_GB2312" w:cs="仿宋_GB2312"/>
          <w:b/>
          <w:bCs/>
          <w:sz w:val="32"/>
          <w:szCs w:val="32"/>
        </w:rPr>
        <w:t>二是政府债券还本付息情况。</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年政府债券还本付息全部列入年初预算，截至</w:t>
      </w:r>
      <w:r>
        <w:rPr>
          <w:rFonts w:ascii="仿宋_GB2312" w:hAnsi="仿宋" w:eastAsia="仿宋_GB2312" w:cs="仿宋_GB2312"/>
          <w:sz w:val="32"/>
          <w:szCs w:val="32"/>
        </w:rPr>
        <w:t>12</w:t>
      </w:r>
      <w:r>
        <w:rPr>
          <w:rFonts w:hint="eastAsia" w:ascii="仿宋_GB2312" w:hAnsi="仿宋" w:eastAsia="仿宋_GB2312" w:cs="仿宋_GB2312"/>
          <w:sz w:val="32"/>
          <w:szCs w:val="32"/>
        </w:rPr>
        <w:t>月</w:t>
      </w:r>
      <w:r>
        <w:rPr>
          <w:rFonts w:ascii="仿宋_GB2312" w:hAnsi="仿宋" w:eastAsia="仿宋_GB2312" w:cs="仿宋_GB2312"/>
          <w:sz w:val="32"/>
          <w:szCs w:val="32"/>
        </w:rPr>
        <w:t>31</w:t>
      </w:r>
      <w:r>
        <w:rPr>
          <w:rFonts w:hint="eastAsia" w:ascii="仿宋_GB2312" w:hAnsi="仿宋" w:eastAsia="仿宋_GB2312" w:cs="仿宋_GB2312"/>
          <w:sz w:val="32"/>
          <w:szCs w:val="32"/>
        </w:rPr>
        <w:t>日，共偿还</w:t>
      </w:r>
      <w:r>
        <w:rPr>
          <w:rFonts w:hint="eastAsia" w:ascii="仿宋_GB2312" w:hAnsi="仿宋" w:eastAsia="仿宋_GB2312" w:cs="仿宋_GB2312"/>
          <w:sz w:val="32"/>
          <w:szCs w:val="32"/>
          <w:lang w:val="en-US" w:eastAsia="zh-CN"/>
        </w:rPr>
        <w:t>32671</w:t>
      </w:r>
      <w:r>
        <w:rPr>
          <w:rFonts w:hint="eastAsia" w:ascii="仿宋_GB2312" w:hAnsi="仿宋" w:eastAsia="仿宋_GB2312" w:cs="仿宋_GB2312"/>
          <w:sz w:val="32"/>
          <w:szCs w:val="32"/>
        </w:rPr>
        <w:t>万元，其中</w:t>
      </w: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年再融资一般债券</w:t>
      </w:r>
      <w:r>
        <w:rPr>
          <w:rFonts w:hint="eastAsia" w:ascii="仿宋_GB2312" w:hAnsi="仿宋" w:eastAsia="仿宋_GB2312" w:cs="仿宋_GB2312"/>
          <w:sz w:val="32"/>
          <w:szCs w:val="32"/>
          <w:lang w:val="en-US" w:eastAsia="zh-CN"/>
        </w:rPr>
        <w:t>9200</w:t>
      </w:r>
      <w:r>
        <w:rPr>
          <w:rFonts w:hint="eastAsia" w:ascii="仿宋_GB2312" w:hAnsi="仿宋" w:eastAsia="仿宋_GB2312" w:cs="仿宋_GB2312"/>
          <w:sz w:val="32"/>
          <w:szCs w:val="32"/>
        </w:rPr>
        <w:t>万元，专项债券</w:t>
      </w:r>
      <w:r>
        <w:rPr>
          <w:rFonts w:hint="eastAsia" w:ascii="仿宋_GB2312" w:hAnsi="仿宋" w:eastAsia="仿宋_GB2312" w:cs="仿宋_GB2312"/>
          <w:sz w:val="32"/>
          <w:szCs w:val="32"/>
          <w:lang w:val="en-US" w:eastAsia="zh-CN"/>
        </w:rPr>
        <w:t>20200</w:t>
      </w:r>
      <w:r>
        <w:rPr>
          <w:rFonts w:hint="eastAsia" w:ascii="仿宋_GB2312" w:hAnsi="仿宋" w:eastAsia="仿宋_GB2312" w:cs="仿宋_GB2312"/>
          <w:sz w:val="32"/>
          <w:szCs w:val="32"/>
        </w:rPr>
        <w:t>万元，用于偿还到期本金。</w:t>
      </w:r>
      <w:r>
        <w:rPr>
          <w:rFonts w:hint="eastAsia" w:ascii="仿宋_GB2312" w:hAnsi="仿宋" w:eastAsia="仿宋_GB2312" w:cs="仿宋_GB2312"/>
          <w:b/>
          <w:color w:val="000000"/>
          <w:sz w:val="32"/>
          <w:szCs w:val="32"/>
          <w:shd w:val="clear" w:color="auto" w:fill="FFFFFF"/>
        </w:rPr>
        <w:t>三是政府隐性债务化解情况</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eastAsia="zh-CN"/>
        </w:rPr>
        <w:t>累计争取化解存量隐性债务资金</w:t>
      </w:r>
      <w:r>
        <w:rPr>
          <w:rFonts w:hint="eastAsia" w:ascii="仿宋_GB2312" w:hAnsi="仿宋" w:eastAsia="仿宋_GB2312" w:cs="仿宋_GB2312"/>
          <w:sz w:val="32"/>
          <w:szCs w:val="32"/>
          <w:lang w:val="en-US" w:eastAsia="zh-CN"/>
        </w:rPr>
        <w:t>59700万元，有效缓解了到期债务偿还压力。</w:t>
      </w:r>
    </w:p>
    <w:p>
      <w:pPr>
        <w:pStyle w:val="6"/>
        <w:spacing w:before="0" w:beforeAutospacing="0" w:after="0" w:afterAutospacing="0" w:line="580" w:lineRule="exact"/>
        <w:ind w:firstLine="601"/>
        <w:rPr>
          <w:rFonts w:ascii="仿宋_GB2312" w:hAnsi="仿宋" w:eastAsia="仿宋_GB2312" w:cs="仿宋_GB2312"/>
          <w:sz w:val="32"/>
          <w:szCs w:val="32"/>
        </w:rPr>
      </w:pPr>
      <w:r>
        <w:rPr>
          <w:rFonts w:ascii="仿宋_GB2312" w:hAnsi="仿宋" w:eastAsia="仿宋_GB2312" w:cs="仿宋_GB2312"/>
          <w:color w:val="000000"/>
          <w:sz w:val="32"/>
          <w:szCs w:val="32"/>
        </w:rPr>
        <w:t>202</w:t>
      </w:r>
      <w:r>
        <w:rPr>
          <w:rFonts w:hint="eastAsia" w:ascii="仿宋_GB2312" w:hAnsi="仿宋" w:eastAsia="仿宋_GB2312" w:cs="仿宋_GB2312"/>
          <w:color w:val="000000"/>
          <w:sz w:val="32"/>
          <w:szCs w:val="32"/>
          <w:lang w:val="en-US" w:eastAsia="zh-CN"/>
        </w:rPr>
        <w:t>4</w:t>
      </w:r>
      <w:r>
        <w:rPr>
          <w:rFonts w:hint="eastAsia" w:ascii="仿宋_GB2312" w:hAnsi="仿宋" w:eastAsia="仿宋_GB2312" w:cs="仿宋_GB2312"/>
          <w:sz w:val="32"/>
          <w:szCs w:val="32"/>
        </w:rPr>
        <w:t>年，</w:t>
      </w:r>
      <w:r>
        <w:rPr>
          <w:rFonts w:hint="eastAsia" w:ascii="仿宋_GB2312" w:hAnsi="仿宋" w:eastAsia="仿宋_GB2312"/>
          <w:sz w:val="32"/>
          <w:szCs w:val="32"/>
        </w:rPr>
        <w:t>在县委正确领导和县人大的监督支持下，全面落实县委决策部署，</w:t>
      </w:r>
      <w:r>
        <w:rPr>
          <w:rFonts w:hint="eastAsia" w:ascii="仿宋_GB2312" w:hAnsi="仿宋" w:eastAsia="仿宋_GB2312" w:cs="仿宋_GB2312"/>
          <w:sz w:val="32"/>
          <w:szCs w:val="32"/>
        </w:rPr>
        <w:t>担当实干、奋勇争先，圆满完成了各项工作任务。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b/>
          <w:bCs/>
          <w:i w:val="0"/>
          <w:iCs w:val="0"/>
          <w:caps w:val="0"/>
          <w:color w:val="333333"/>
          <w:spacing w:val="0"/>
          <w:sz w:val="32"/>
          <w:szCs w:val="32"/>
          <w:shd w:val="clear" w:fill="FFFFFF"/>
          <w:lang w:val="en-US" w:eastAsia="zh-CN"/>
        </w:rPr>
        <w:t>（一）坚持迎难而上，财政运行稳中有进。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eastAsia="仿宋_GB2312" w:cs="仿宋_GB2312" w:hAnsiTheme="minorHAnsi"/>
          <w:color w:val="auto"/>
          <w:kern w:val="2"/>
          <w:sz w:val="32"/>
          <w:szCs w:val="32"/>
          <w:highlight w:val="none"/>
          <w:lang w:val="en-US" w:eastAsia="zh-CN" w:bidi="ar-SA"/>
        </w:rPr>
      </w:pPr>
      <w:r>
        <w:rPr>
          <w:rFonts w:hint="eastAsia" w:ascii="仿宋_GB2312" w:eastAsia="仿宋_GB2312" w:cs="仿宋_GB2312" w:hAnsiTheme="minorHAnsi"/>
          <w:b/>
          <w:bCs/>
          <w:color w:val="auto"/>
          <w:kern w:val="2"/>
          <w:sz w:val="32"/>
          <w:szCs w:val="32"/>
          <w:highlight w:val="none"/>
          <w:lang w:val="en-US" w:eastAsia="zh-CN" w:bidi="ar-SA"/>
        </w:rPr>
        <w:t>一是</w:t>
      </w:r>
      <w:r>
        <w:rPr>
          <w:rFonts w:hint="eastAsia" w:ascii="仿宋_GB2312" w:eastAsia="仿宋_GB2312" w:cs="仿宋_GB2312" w:hAnsiTheme="minorHAnsi"/>
          <w:color w:val="auto"/>
          <w:kern w:val="2"/>
          <w:sz w:val="32"/>
          <w:szCs w:val="32"/>
          <w:highlight w:val="none"/>
          <w:lang w:val="en-US" w:eastAsia="zh-CN" w:bidi="ar-SA"/>
        </w:rPr>
        <w:t>“稳”的基础持续夯实。2024年全县一般公共预算收入12.38亿元，同比增长28.8%。</w:t>
      </w:r>
      <w:r>
        <w:rPr>
          <w:rFonts w:hint="eastAsia" w:ascii="仿宋_GB2312" w:eastAsia="仿宋_GB2312" w:cs="仿宋_GB2312" w:hAnsiTheme="minorHAnsi"/>
          <w:b/>
          <w:bCs/>
          <w:color w:val="auto"/>
          <w:kern w:val="2"/>
          <w:sz w:val="32"/>
          <w:szCs w:val="32"/>
          <w:highlight w:val="none"/>
          <w:lang w:val="en-US" w:eastAsia="zh-CN" w:bidi="ar-SA"/>
        </w:rPr>
        <w:t>二是</w:t>
      </w:r>
      <w:r>
        <w:rPr>
          <w:rFonts w:hint="eastAsia" w:ascii="仿宋_GB2312" w:eastAsia="仿宋_GB2312" w:cs="仿宋_GB2312" w:hAnsiTheme="minorHAnsi"/>
          <w:color w:val="auto"/>
          <w:kern w:val="2"/>
          <w:sz w:val="32"/>
          <w:szCs w:val="32"/>
          <w:highlight w:val="none"/>
          <w:lang w:val="en-US" w:eastAsia="zh-CN" w:bidi="ar-SA"/>
        </w:rPr>
        <w:t>“争”的势头更加强劲。及时捕捉掌握国家最新的扶持政策和投资动态，紧紧抓住国家扩大内需，资金投资的战略机遇，积极争取上级各项资金支持。全年累计争取上级补助资金38.39亿元</w:t>
      </w:r>
      <w:r>
        <w:rPr>
          <w:rFonts w:hint="eastAsia" w:ascii="仿宋_GB2312" w:eastAsia="仿宋_GB2312" w:cs="仿宋_GB2312"/>
          <w:color w:val="auto"/>
          <w:kern w:val="2"/>
          <w:sz w:val="32"/>
          <w:szCs w:val="32"/>
          <w:highlight w:val="none"/>
          <w:lang w:val="en-US" w:eastAsia="zh-CN" w:bidi="ar-SA"/>
        </w:rPr>
        <w:t>，</w:t>
      </w:r>
      <w:r>
        <w:rPr>
          <w:rFonts w:hint="eastAsia" w:ascii="仿宋_GB2312" w:eastAsia="仿宋_GB2312" w:cs="仿宋_GB2312" w:hAnsiTheme="minorHAnsi"/>
          <w:color w:val="auto"/>
          <w:kern w:val="2"/>
          <w:sz w:val="32"/>
          <w:szCs w:val="32"/>
          <w:highlight w:val="none"/>
          <w:lang w:val="en-US" w:eastAsia="zh-CN" w:bidi="ar-SA"/>
        </w:rPr>
        <w:t>累计争取政府债券8.32亿元，其中，新增一般债券2.35亿元，专项债置换隐性债务债券5.97亿元。涵盖道路拆迁、新丰路北延、一中两馆、开发区基础设施建设4个项目，有力有效保障了我县重点项目的实施。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楷体" w:hAnsi="楷体" w:eastAsia="楷体" w:cs="楷体"/>
          <w:b/>
          <w:bCs/>
          <w:i w:val="0"/>
          <w:iCs w:val="0"/>
          <w:caps w:val="0"/>
          <w:color w:val="333333"/>
          <w:spacing w:val="0"/>
          <w:sz w:val="32"/>
          <w:szCs w:val="32"/>
          <w:shd w:val="clear" w:fill="FFFFFF"/>
          <w:lang w:val="en-US" w:eastAsia="zh-CN"/>
        </w:rPr>
      </w:pPr>
      <w:r>
        <w:rPr>
          <w:rFonts w:hint="eastAsia" w:ascii="楷体" w:hAnsi="楷体" w:eastAsia="楷体" w:cs="楷体"/>
          <w:b/>
          <w:bCs/>
          <w:i w:val="0"/>
          <w:iCs w:val="0"/>
          <w:caps w:val="0"/>
          <w:color w:val="333333"/>
          <w:spacing w:val="0"/>
          <w:sz w:val="32"/>
          <w:szCs w:val="32"/>
          <w:shd w:val="clear" w:fill="FFFFFF"/>
          <w:lang w:val="en-US" w:eastAsia="zh-CN"/>
        </w:rPr>
        <w:t>（二）优化支出结构，强化重点支出保障。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eastAsia="仿宋_GB2312" w:cs="仿宋_GB2312" w:hAnsiTheme="minorHAnsi"/>
          <w:color w:val="auto"/>
          <w:kern w:val="2"/>
          <w:sz w:val="32"/>
          <w:szCs w:val="32"/>
          <w:highlight w:val="none"/>
          <w:lang w:val="en-US" w:eastAsia="zh-CN" w:bidi="ar-SA"/>
        </w:rPr>
      </w:pPr>
      <w:r>
        <w:rPr>
          <w:rFonts w:hint="eastAsia" w:ascii="仿宋_GB2312" w:eastAsia="仿宋_GB2312" w:cs="仿宋_GB2312" w:hAnsiTheme="minorHAnsi"/>
          <w:b/>
          <w:bCs/>
          <w:color w:val="auto"/>
          <w:kern w:val="2"/>
          <w:sz w:val="32"/>
          <w:szCs w:val="32"/>
          <w:highlight w:val="none"/>
          <w:lang w:val="en-US" w:eastAsia="zh-CN" w:bidi="ar-SA"/>
        </w:rPr>
        <w:t>一是</w:t>
      </w:r>
      <w:r>
        <w:rPr>
          <w:rFonts w:hint="eastAsia" w:ascii="仿宋_GB2312" w:eastAsia="仿宋_GB2312" w:cs="仿宋_GB2312" w:hAnsiTheme="minorHAnsi"/>
          <w:color w:val="auto"/>
          <w:kern w:val="2"/>
          <w:sz w:val="32"/>
          <w:szCs w:val="32"/>
          <w:highlight w:val="none"/>
          <w:lang w:val="en-US" w:eastAsia="zh-CN" w:bidi="ar-SA"/>
        </w:rPr>
        <w:t>坚持厉行节约过紧日子。将过紧日子作为预算管理长期坚持的基本方针，大力压减非刚性支出节约财力，“三保”支出足额保障到位。</w:t>
      </w:r>
      <w:r>
        <w:rPr>
          <w:rFonts w:hint="eastAsia" w:ascii="仿宋_GB2312" w:eastAsia="仿宋_GB2312" w:cs="仿宋_GB2312" w:hAnsiTheme="minorHAnsi"/>
          <w:b/>
          <w:bCs/>
          <w:color w:val="auto"/>
          <w:kern w:val="2"/>
          <w:sz w:val="32"/>
          <w:szCs w:val="32"/>
          <w:highlight w:val="none"/>
          <w:lang w:val="en-US" w:eastAsia="zh-CN" w:bidi="ar-SA"/>
        </w:rPr>
        <w:t>二是</w:t>
      </w:r>
      <w:r>
        <w:rPr>
          <w:rFonts w:hint="eastAsia" w:ascii="仿宋_GB2312" w:eastAsia="仿宋_GB2312" w:cs="仿宋_GB2312" w:hAnsiTheme="minorHAnsi"/>
          <w:color w:val="auto"/>
          <w:kern w:val="2"/>
          <w:sz w:val="32"/>
          <w:szCs w:val="32"/>
          <w:highlight w:val="none"/>
          <w:lang w:val="en-US" w:eastAsia="zh-CN" w:bidi="ar-SA"/>
        </w:rPr>
        <w:t>强化重点领域支出保障。围绕基本民生领域和民生工程项目，加强资金调度，做好资金保障。全县财政支出完成54.42亿元，同比增长4.9%。</w:t>
      </w:r>
      <w:r>
        <w:rPr>
          <w:rFonts w:hint="eastAsia" w:ascii="仿宋_GB2312" w:eastAsia="仿宋_GB2312" w:cs="仿宋_GB2312" w:hAnsiTheme="minorHAnsi"/>
          <w:b/>
          <w:bCs/>
          <w:color w:val="auto"/>
          <w:kern w:val="2"/>
          <w:sz w:val="32"/>
          <w:szCs w:val="32"/>
          <w:highlight w:val="none"/>
          <w:lang w:val="en-US" w:eastAsia="zh-CN" w:bidi="ar-SA"/>
        </w:rPr>
        <w:t>三是</w:t>
      </w:r>
      <w:r>
        <w:rPr>
          <w:rFonts w:hint="eastAsia" w:ascii="仿宋_GB2312" w:eastAsia="仿宋_GB2312" w:cs="仿宋_GB2312" w:hAnsiTheme="minorHAnsi"/>
          <w:color w:val="auto"/>
          <w:kern w:val="2"/>
          <w:sz w:val="32"/>
          <w:szCs w:val="32"/>
          <w:highlight w:val="none"/>
          <w:lang w:val="en-US" w:eastAsia="zh-CN" w:bidi="ar-SA"/>
        </w:rPr>
        <w:t>强化国债项目资金监管。第一时间分配上级增发国债资金，落实配套资金要求。督促相关部门及时完善国债监控系统信息，加快项目进展，提高国债资金使用效益。</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楷体" w:hAnsi="楷体" w:eastAsia="楷体" w:cs="楷体"/>
          <w:b/>
          <w:bCs/>
          <w:i w:val="0"/>
          <w:iCs w:val="0"/>
          <w:caps w:val="0"/>
          <w:color w:val="333333"/>
          <w:spacing w:val="0"/>
          <w:sz w:val="32"/>
          <w:szCs w:val="32"/>
          <w:shd w:val="clear" w:fill="FFFFFF"/>
          <w:lang w:eastAsia="zh-CN"/>
        </w:rPr>
      </w:pPr>
      <w:r>
        <w:rPr>
          <w:rFonts w:hint="eastAsia" w:ascii="楷体" w:hAnsi="楷体" w:eastAsia="楷体" w:cs="楷体"/>
          <w:b/>
          <w:bCs/>
          <w:i w:val="0"/>
          <w:iCs w:val="0"/>
          <w:caps w:val="0"/>
          <w:color w:val="333333"/>
          <w:spacing w:val="0"/>
          <w:sz w:val="32"/>
          <w:szCs w:val="32"/>
          <w:shd w:val="clear" w:fill="FFFFFF"/>
          <w:lang w:eastAsia="zh-CN"/>
        </w:rPr>
        <w:t>优化财政配置，财政助力民生。</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eastAsia="仿宋_GB2312" w:cs="仿宋_GB2312" w:hAnsiTheme="minorHAnsi"/>
          <w:color w:val="auto"/>
          <w:kern w:val="2"/>
          <w:sz w:val="32"/>
          <w:szCs w:val="32"/>
          <w:highlight w:val="none"/>
          <w:lang w:val="en-US" w:eastAsia="zh-CN" w:bidi="ar-SA"/>
        </w:rPr>
      </w:pPr>
      <w:r>
        <w:rPr>
          <w:rFonts w:hint="eastAsia" w:ascii="仿宋_GB2312" w:eastAsia="仿宋_GB2312" w:cs="仿宋_GB2312" w:hAnsiTheme="minorHAnsi"/>
          <w:b/>
          <w:bCs/>
          <w:color w:val="auto"/>
          <w:kern w:val="2"/>
          <w:sz w:val="32"/>
          <w:szCs w:val="32"/>
          <w:highlight w:val="none"/>
          <w:lang w:val="en-US" w:eastAsia="zh-CN" w:bidi="ar-SA"/>
        </w:rPr>
        <w:t>一是</w:t>
      </w:r>
      <w:r>
        <w:rPr>
          <w:rFonts w:hint="eastAsia" w:ascii="仿宋_GB2312" w:eastAsia="仿宋_GB2312" w:cs="仿宋_GB2312" w:hAnsiTheme="minorHAnsi"/>
          <w:color w:val="auto"/>
          <w:kern w:val="2"/>
          <w:sz w:val="32"/>
          <w:szCs w:val="32"/>
          <w:highlight w:val="none"/>
          <w:lang w:val="en-US" w:eastAsia="zh-CN" w:bidi="ar-SA"/>
        </w:rPr>
        <w:t>民生保障持续改善。全年投入2091万元就业补助资金，实施更加积极的就业政策，推动更高质量就业；安排公立医院、基层医疗卫生机构及村卫生室补助资金7417万元，全力保障“健康丰宁”建设，在县域医共体省级验收暨示范县评价考核中，我县获紧密型县域医共体建设省级示范县称号；累计发放农村低保金、城镇低保金、特困供养资金、临时救助金等补助1.62亿元，有力地兜住了基本民生底线；累计下达退役人员安置974万元，保障了各类优抚对象各项待遇政策落实。在2024年省民政厅、省财政厅对养老服务体系建设考核工作中我县获得优秀县称号。</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eastAsia="仿宋_GB2312" w:cs="仿宋_GB2312" w:hAnsiTheme="minorHAnsi"/>
          <w:color w:val="auto"/>
          <w:kern w:val="2"/>
          <w:sz w:val="32"/>
          <w:szCs w:val="32"/>
          <w:highlight w:val="none"/>
          <w:lang w:val="en-US" w:eastAsia="zh-CN" w:bidi="ar-SA"/>
        </w:rPr>
      </w:pPr>
      <w:r>
        <w:rPr>
          <w:rFonts w:hint="eastAsia" w:ascii="仿宋_GB2312" w:eastAsia="仿宋_GB2312" w:cs="仿宋_GB2312" w:hAnsiTheme="minorHAnsi"/>
          <w:b/>
          <w:bCs/>
          <w:color w:val="auto"/>
          <w:kern w:val="2"/>
          <w:sz w:val="32"/>
          <w:szCs w:val="32"/>
          <w:highlight w:val="none"/>
          <w:lang w:val="en-US" w:eastAsia="zh-CN" w:bidi="ar-SA"/>
        </w:rPr>
        <w:t>二是</w:t>
      </w:r>
      <w:r>
        <w:rPr>
          <w:rFonts w:hint="eastAsia" w:ascii="仿宋_GB2312" w:eastAsia="仿宋_GB2312" w:cs="仿宋_GB2312" w:hAnsiTheme="minorHAnsi"/>
          <w:color w:val="auto"/>
          <w:kern w:val="2"/>
          <w:sz w:val="32"/>
          <w:szCs w:val="32"/>
          <w:highlight w:val="none"/>
          <w:lang w:val="en-US" w:eastAsia="zh-CN" w:bidi="ar-SA"/>
        </w:rPr>
        <w:t>绘就“和美乡村”画卷。把乡村振兴作为财政保障重点，2024年，我县衔接推进乡村振兴补助资金57805万元，其中：中央财政衔接资金17735万元；省级财政衔接资金33874万元；市级财政衔接资金596万元；本级预算安排5600万元。本级预算安排财政衔接资金较上年持平。</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eastAsia="仿宋_GB2312" w:cs="仿宋_GB2312" w:hAnsiTheme="minorHAnsi"/>
          <w:color w:val="auto"/>
          <w:kern w:val="2"/>
          <w:sz w:val="32"/>
          <w:szCs w:val="32"/>
          <w:highlight w:val="none"/>
          <w:lang w:val="en-US" w:eastAsia="zh-CN" w:bidi="ar-SA"/>
        </w:rPr>
      </w:pPr>
      <w:r>
        <w:rPr>
          <w:rFonts w:hint="eastAsia" w:ascii="仿宋_GB2312" w:eastAsia="仿宋_GB2312" w:cs="仿宋_GB2312" w:hAnsiTheme="minorHAnsi"/>
          <w:b/>
          <w:bCs/>
          <w:color w:val="auto"/>
          <w:kern w:val="2"/>
          <w:sz w:val="32"/>
          <w:szCs w:val="32"/>
          <w:highlight w:val="none"/>
          <w:lang w:val="en-US" w:eastAsia="zh-CN" w:bidi="ar-SA"/>
        </w:rPr>
        <w:t>三是</w:t>
      </w:r>
      <w:r>
        <w:rPr>
          <w:rFonts w:hint="eastAsia" w:ascii="仿宋_GB2312" w:eastAsia="仿宋_GB2312" w:cs="仿宋_GB2312" w:hAnsiTheme="minorHAnsi"/>
          <w:color w:val="auto"/>
          <w:kern w:val="2"/>
          <w:sz w:val="32"/>
          <w:szCs w:val="32"/>
          <w:highlight w:val="none"/>
          <w:lang w:val="en-US" w:eastAsia="zh-CN" w:bidi="ar-SA"/>
        </w:rPr>
        <w:t>积极采购脱贫地区农副产品。2024年全县在扶贫832平台注册采购账号202家，填报年度食堂食材采购总额1764.53万元，预留采购份额187.85万元，预留比例10.65%。全年共计117家单位在832平台上进行了采购，采购金额199.54万元，及时超额完成了年初采购任务，为优化政府采购领域营商环境，支持脱贫地区产业发展和乡村振兴贡献力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楷体" w:hAnsi="楷体" w:eastAsia="楷体" w:cs="楷体"/>
          <w:b/>
          <w:bCs/>
          <w:i w:val="0"/>
          <w:iCs w:val="0"/>
          <w:caps w:val="0"/>
          <w:color w:val="333333"/>
          <w:spacing w:val="0"/>
          <w:sz w:val="32"/>
          <w:szCs w:val="32"/>
          <w:shd w:val="clear" w:fill="FFFFFF"/>
          <w:lang w:eastAsia="zh-CN"/>
        </w:rPr>
      </w:pPr>
      <w:r>
        <w:rPr>
          <w:rFonts w:hint="eastAsia" w:ascii="楷体" w:hAnsi="楷体" w:eastAsia="楷体" w:cs="楷体"/>
          <w:b/>
          <w:bCs/>
          <w:i w:val="0"/>
          <w:iCs w:val="0"/>
          <w:caps w:val="0"/>
          <w:color w:val="333333"/>
          <w:spacing w:val="0"/>
          <w:sz w:val="32"/>
          <w:szCs w:val="32"/>
          <w:shd w:val="clear" w:fill="FFFFFF"/>
          <w:lang w:eastAsia="zh-CN"/>
        </w:rPr>
        <w:t>（四）发挥财政职能，提升助企纾困质效。</w:t>
      </w:r>
    </w:p>
    <w:p>
      <w:pPr>
        <w:keepNext w:val="0"/>
        <w:keepLines w:val="0"/>
        <w:pageBreakBefore w:val="0"/>
        <w:widowControl/>
        <w:pBdr>
          <w:bottom w:val="none" w:color="FFFFFF" w:sz="0" w:space="29"/>
        </w:pBdr>
        <w:kinsoku/>
        <w:wordWrap/>
        <w:overflowPunct w:val="0"/>
        <w:topLinePunct w:val="0"/>
        <w:autoSpaceDE w:val="0"/>
        <w:autoSpaceDN w:val="0"/>
        <w:bidi w:val="0"/>
        <w:adjustRightInd/>
        <w:snapToGrid/>
        <w:spacing w:line="560" w:lineRule="exact"/>
        <w:ind w:left="0" w:firstLine="643" w:firstLineChars="200"/>
        <w:contextualSpacing/>
        <w:jc w:val="left"/>
        <w:textAlignment w:val="auto"/>
        <w:rPr>
          <w:rFonts w:hint="eastAsia" w:ascii="仿宋_GB2312" w:eastAsia="仿宋_GB2312" w:cs="仿宋_GB2312" w:hAnsiTheme="minorHAnsi"/>
          <w:color w:val="auto"/>
          <w:kern w:val="2"/>
          <w:sz w:val="32"/>
          <w:szCs w:val="32"/>
          <w:highlight w:val="none"/>
          <w:lang w:val="en-US" w:eastAsia="zh-CN" w:bidi="ar-SA"/>
        </w:rPr>
      </w:pPr>
      <w:r>
        <w:rPr>
          <w:rFonts w:hint="eastAsia" w:ascii="仿宋_GB2312" w:eastAsia="仿宋_GB2312" w:cs="仿宋_GB2312" w:hAnsiTheme="minorHAnsi"/>
          <w:b/>
          <w:bCs/>
          <w:color w:val="auto"/>
          <w:kern w:val="2"/>
          <w:sz w:val="32"/>
          <w:szCs w:val="32"/>
          <w:highlight w:val="none"/>
          <w:lang w:val="en-US" w:eastAsia="zh-CN" w:bidi="ar-SA"/>
        </w:rPr>
        <w:t>一是</w:t>
      </w:r>
      <w:r>
        <w:rPr>
          <w:rFonts w:hint="eastAsia" w:ascii="仿宋_GB2312" w:eastAsia="仿宋_GB2312" w:cs="仿宋_GB2312" w:hAnsiTheme="minorHAnsi"/>
          <w:color w:val="auto"/>
          <w:kern w:val="2"/>
          <w:sz w:val="32"/>
          <w:szCs w:val="32"/>
          <w:highlight w:val="none"/>
          <w:lang w:val="en-US" w:eastAsia="zh-CN" w:bidi="ar-SA"/>
        </w:rPr>
        <w:t>政府采购工作稳步推进，政府采购“双盲”评审政策落地见效。2024年全县共备案、审批、审核采购项目205个，备案预算金额共计37353.37万元，已完成中标项目177个，预算金额42062.66万元，中标金额41530.84万元，节约资金531.82万元，节约率为1.26%。全县已完成采购合同签订项目166个，合同金额共计37920.46万元，其中，中小企业合同金额为35293.96万元，占总合同金额的93.07%。全年累计发布招标公告的“双盲”项目72个，采购预算36914.51万元；已开标评审的“双盲”项目63个，中标金额23334.97万元。</w:t>
      </w:r>
    </w:p>
    <w:p>
      <w:pPr>
        <w:keepNext w:val="0"/>
        <w:keepLines w:val="0"/>
        <w:pageBreakBefore w:val="0"/>
        <w:widowControl/>
        <w:pBdr>
          <w:bottom w:val="none" w:color="FFFFFF" w:sz="0" w:space="29"/>
        </w:pBdr>
        <w:kinsoku/>
        <w:wordWrap/>
        <w:overflowPunct w:val="0"/>
        <w:topLinePunct w:val="0"/>
        <w:autoSpaceDE w:val="0"/>
        <w:autoSpaceDN w:val="0"/>
        <w:bidi w:val="0"/>
        <w:adjustRightInd/>
        <w:snapToGrid/>
        <w:spacing w:line="560" w:lineRule="exact"/>
        <w:ind w:left="0" w:firstLine="643" w:firstLineChars="200"/>
        <w:contextualSpacing/>
        <w:jc w:val="left"/>
        <w:textAlignment w:val="auto"/>
        <w:rPr>
          <w:rFonts w:hint="eastAsia" w:ascii="仿宋_GB2312" w:eastAsia="仿宋_GB2312" w:cs="仿宋_GB2312" w:hAnsiTheme="minorHAnsi"/>
          <w:color w:val="auto"/>
          <w:kern w:val="2"/>
          <w:sz w:val="32"/>
          <w:szCs w:val="32"/>
          <w:highlight w:val="none"/>
          <w:lang w:val="en-US" w:eastAsia="zh-CN" w:bidi="ar-SA"/>
        </w:rPr>
      </w:pPr>
      <w:r>
        <w:rPr>
          <w:rFonts w:hint="eastAsia" w:ascii="仿宋_GB2312" w:eastAsia="仿宋_GB2312" w:cs="仿宋_GB2312" w:hAnsiTheme="minorHAnsi"/>
          <w:b/>
          <w:bCs/>
          <w:color w:val="auto"/>
          <w:kern w:val="2"/>
          <w:sz w:val="32"/>
          <w:szCs w:val="32"/>
          <w:highlight w:val="none"/>
          <w:lang w:val="en-US" w:eastAsia="zh-CN" w:bidi="ar-SA"/>
        </w:rPr>
        <w:t>二是</w:t>
      </w:r>
      <w:r>
        <w:rPr>
          <w:rFonts w:hint="eastAsia" w:ascii="仿宋_GB2312" w:eastAsia="仿宋_GB2312" w:cs="仿宋_GB2312" w:hAnsiTheme="minorHAnsi"/>
          <w:color w:val="auto"/>
          <w:kern w:val="2"/>
          <w:sz w:val="32"/>
          <w:szCs w:val="32"/>
          <w:highlight w:val="none"/>
          <w:lang w:val="en-US" w:eastAsia="zh-CN" w:bidi="ar-SA"/>
        </w:rPr>
        <w:t>持续落实落细税费优惠政策。2024年1-10月，累计新增减税降费11151.68万元。留抵退税政策落实3045.6万元。小规模纳税人减征增值税优惠4788.96万元，占减税降费总额的42.94%；小规模纳税人免征增值税优惠（月销售额10万元以下免征）2952.66万元，占减税降费总额的26.48%；500万元以下设备器具一次性税前扣除政策优惠1471.27万元，占减税降费总额的13.19%；支持农村金融发展有关税收优惠政策优惠239.63万元，占减税降费总额的2.15%；金融机构向小微企业发放小额贷款免征增值税政策（1000万元以下）优惠5.75万元，占减税降费总额的0.05%；支持小微企业融资有关税收政策优惠19.63万元，占减税降费总额的0.18%；继续实施阶段性降低失业保险费率446.59万元，占减税降费总额的4%；新能源汽车免征车辆购置税704.67万元,占减税降费总额的6.32%；2024年县财政局、税务局、国土局、清洁能源发展中心对中广核新能源、国华新能源2家清洁能源企业及4家矿山企业进行了实际用地核查，核查总面积4.2万亩，预计每年增加税收400万元</w:t>
      </w:r>
      <w:r>
        <w:rPr>
          <w:rFonts w:hint="eastAsia" w:ascii="仿宋_GB2312" w:eastAsia="仿宋_GB2312" w:cs="仿宋_GB2312"/>
          <w:color w:val="auto"/>
          <w:kern w:val="2"/>
          <w:sz w:val="32"/>
          <w:szCs w:val="32"/>
          <w:highlight w:val="none"/>
          <w:lang w:val="en-US" w:eastAsia="zh-CN" w:bidi="ar-SA"/>
        </w:rPr>
        <w:t>，</w:t>
      </w:r>
      <w:r>
        <w:rPr>
          <w:rFonts w:hint="eastAsia" w:ascii="仿宋_GB2312" w:eastAsia="仿宋_GB2312" w:cs="仿宋_GB2312" w:hAnsiTheme="minorHAnsi"/>
          <w:color w:val="auto"/>
          <w:kern w:val="2"/>
          <w:sz w:val="32"/>
          <w:szCs w:val="32"/>
          <w:highlight w:val="none"/>
          <w:lang w:val="en-US" w:eastAsia="zh-CN" w:bidi="ar-SA"/>
        </w:rPr>
        <w:t>为税收征收管理巩固提供了有力的数据支撑。</w:t>
      </w:r>
    </w:p>
    <w:p>
      <w:pPr>
        <w:keepNext w:val="0"/>
        <w:keepLines w:val="0"/>
        <w:pageBreakBefore w:val="0"/>
        <w:widowControl/>
        <w:pBdr>
          <w:bottom w:val="none" w:color="FFFFFF" w:sz="0" w:space="29"/>
        </w:pBdr>
        <w:kinsoku/>
        <w:wordWrap/>
        <w:overflowPunct w:val="0"/>
        <w:topLinePunct w:val="0"/>
        <w:autoSpaceDE w:val="0"/>
        <w:autoSpaceDN w:val="0"/>
        <w:bidi w:val="0"/>
        <w:adjustRightInd/>
        <w:snapToGrid/>
        <w:spacing w:line="560" w:lineRule="exact"/>
        <w:ind w:left="0" w:firstLine="643" w:firstLineChars="200"/>
        <w:contextualSpacing/>
        <w:jc w:val="left"/>
        <w:textAlignment w:val="auto"/>
        <w:rPr>
          <w:rFonts w:hint="eastAsia" w:ascii="仿宋_GB2312" w:eastAsia="仿宋_GB2312" w:cs="仿宋_GB2312" w:hAnsiTheme="minorHAnsi"/>
          <w:color w:val="auto"/>
          <w:kern w:val="2"/>
          <w:sz w:val="32"/>
          <w:szCs w:val="32"/>
          <w:highlight w:val="none"/>
          <w:lang w:val="en-US" w:eastAsia="zh-CN" w:bidi="ar-SA"/>
        </w:rPr>
      </w:pPr>
      <w:r>
        <w:rPr>
          <w:rFonts w:hint="eastAsia" w:ascii="仿宋_GB2312" w:eastAsia="仿宋_GB2312" w:cs="仿宋_GB2312" w:hAnsiTheme="minorHAnsi"/>
          <w:b/>
          <w:bCs/>
          <w:color w:val="auto"/>
          <w:kern w:val="2"/>
          <w:sz w:val="32"/>
          <w:szCs w:val="32"/>
          <w:highlight w:val="none"/>
          <w:lang w:val="en-US" w:eastAsia="zh-CN" w:bidi="ar-SA"/>
        </w:rPr>
        <w:t>三是</w:t>
      </w:r>
      <w:r>
        <w:rPr>
          <w:rFonts w:hint="eastAsia" w:ascii="仿宋_GB2312" w:eastAsia="仿宋_GB2312" w:cs="仿宋_GB2312" w:hAnsiTheme="minorHAnsi"/>
          <w:color w:val="auto"/>
          <w:kern w:val="2"/>
          <w:sz w:val="32"/>
          <w:szCs w:val="32"/>
          <w:highlight w:val="none"/>
          <w:lang w:val="en-US" w:eastAsia="zh-CN" w:bidi="ar-SA"/>
        </w:rPr>
        <w:t>坚持“不唯减、不唯增、只唯实”的评审理念，2024年全年完成评审项目363个，节约资金22042.43万元。</w:t>
      </w:r>
    </w:p>
    <w:p>
      <w:pPr>
        <w:keepNext w:val="0"/>
        <w:keepLines w:val="0"/>
        <w:pageBreakBefore w:val="0"/>
        <w:widowControl/>
        <w:pBdr>
          <w:bottom w:val="none" w:color="FFFFFF" w:sz="0" w:space="29"/>
        </w:pBdr>
        <w:kinsoku/>
        <w:wordWrap/>
        <w:overflowPunct w:val="0"/>
        <w:topLinePunct w:val="0"/>
        <w:autoSpaceDE w:val="0"/>
        <w:autoSpaceDN w:val="0"/>
        <w:bidi w:val="0"/>
        <w:adjustRightInd/>
        <w:snapToGrid/>
        <w:spacing w:line="560" w:lineRule="exact"/>
        <w:ind w:left="0" w:firstLine="643" w:firstLineChars="200"/>
        <w:contextualSpacing/>
        <w:jc w:val="left"/>
        <w:textAlignment w:val="auto"/>
        <w:rPr>
          <w:rFonts w:hint="eastAsia" w:ascii="楷体" w:hAnsi="楷体" w:eastAsia="楷体" w:cs="楷体"/>
          <w:b/>
          <w:bCs/>
          <w:i w:val="0"/>
          <w:iCs w:val="0"/>
          <w:caps w:val="0"/>
          <w:color w:val="333333"/>
          <w:spacing w:val="0"/>
          <w:sz w:val="32"/>
          <w:szCs w:val="32"/>
          <w:shd w:val="clear" w:fill="FFFFFF"/>
          <w:lang w:eastAsia="zh-CN"/>
        </w:rPr>
      </w:pPr>
      <w:r>
        <w:rPr>
          <w:rFonts w:hint="eastAsia" w:ascii="楷体" w:hAnsi="楷体" w:eastAsia="楷体" w:cs="楷体"/>
          <w:b/>
          <w:bCs/>
          <w:i w:val="0"/>
          <w:iCs w:val="0"/>
          <w:caps w:val="0"/>
          <w:color w:val="333333"/>
          <w:spacing w:val="0"/>
          <w:sz w:val="32"/>
          <w:szCs w:val="32"/>
          <w:shd w:val="clear" w:fill="FFFFFF"/>
          <w:lang w:val="en-US" w:eastAsia="zh-CN"/>
        </w:rPr>
        <w:t>（五）</w:t>
      </w:r>
      <w:r>
        <w:rPr>
          <w:rFonts w:hint="eastAsia" w:ascii="楷体" w:hAnsi="楷体" w:eastAsia="楷体" w:cs="楷体"/>
          <w:b/>
          <w:bCs/>
          <w:i w:val="0"/>
          <w:iCs w:val="0"/>
          <w:caps w:val="0"/>
          <w:color w:val="333333"/>
          <w:spacing w:val="0"/>
          <w:sz w:val="32"/>
          <w:szCs w:val="32"/>
          <w:shd w:val="clear" w:fill="FFFFFF"/>
          <w:lang w:eastAsia="zh-CN"/>
        </w:rPr>
        <w:t>坚持底线思维，防范化解运行风险。</w:t>
      </w:r>
    </w:p>
    <w:p>
      <w:pPr>
        <w:keepNext w:val="0"/>
        <w:keepLines w:val="0"/>
        <w:pageBreakBefore w:val="0"/>
        <w:widowControl/>
        <w:numPr>
          <w:ilvl w:val="0"/>
          <w:numId w:val="0"/>
        </w:numPr>
        <w:pBdr>
          <w:bottom w:val="none" w:color="FFFFFF" w:sz="0" w:space="29"/>
        </w:pBdr>
        <w:kinsoku/>
        <w:wordWrap/>
        <w:overflowPunct w:val="0"/>
        <w:topLinePunct w:val="0"/>
        <w:autoSpaceDE w:val="0"/>
        <w:autoSpaceDN w:val="0"/>
        <w:bidi w:val="0"/>
        <w:adjustRightInd/>
        <w:snapToGrid/>
        <w:spacing w:line="560" w:lineRule="exact"/>
        <w:ind w:firstLine="643" w:firstLineChars="200"/>
        <w:contextualSpacing/>
        <w:jc w:val="left"/>
        <w:textAlignment w:val="auto"/>
        <w:rPr>
          <w:rFonts w:hint="eastAsia" w:ascii="仿宋_GB2312" w:eastAsia="仿宋_GB2312" w:cs="仿宋_GB2312" w:hAnsiTheme="minorHAnsi"/>
          <w:color w:val="auto"/>
          <w:kern w:val="2"/>
          <w:sz w:val="32"/>
          <w:szCs w:val="32"/>
          <w:highlight w:val="none"/>
          <w:lang w:val="en-US" w:eastAsia="zh-CN" w:bidi="ar-SA"/>
        </w:rPr>
      </w:pPr>
      <w:r>
        <w:rPr>
          <w:rFonts w:hint="eastAsia" w:ascii="仿宋_GB2312" w:eastAsia="仿宋_GB2312" w:cs="仿宋_GB2312" w:hAnsiTheme="minorHAnsi"/>
          <w:b/>
          <w:bCs/>
          <w:color w:val="auto"/>
          <w:kern w:val="2"/>
          <w:sz w:val="32"/>
          <w:szCs w:val="32"/>
          <w:highlight w:val="none"/>
          <w:lang w:val="en-US" w:eastAsia="zh-CN" w:bidi="ar-SA"/>
        </w:rPr>
        <w:t>一是</w:t>
      </w:r>
      <w:r>
        <w:rPr>
          <w:rFonts w:hint="eastAsia" w:ascii="仿宋_GB2312" w:eastAsia="仿宋_GB2312" w:cs="仿宋_GB2312" w:hAnsiTheme="minorHAnsi"/>
          <w:color w:val="auto"/>
          <w:kern w:val="2"/>
          <w:sz w:val="32"/>
          <w:szCs w:val="32"/>
          <w:highlight w:val="none"/>
          <w:lang w:val="en-US" w:eastAsia="zh-CN" w:bidi="ar-SA"/>
        </w:rPr>
        <w:t>坚决守牢“三保”风险底线。强化预算刚性约束力，严控新增支出以及各部门制定新增的奖补政策。强化库款运行监测，科学安排支出，牢牢守住支付安全风险。</w:t>
      </w:r>
      <w:r>
        <w:rPr>
          <w:rFonts w:hint="eastAsia" w:ascii="仿宋_GB2312" w:eastAsia="仿宋_GB2312" w:cs="仿宋_GB2312" w:hAnsiTheme="minorHAnsi"/>
          <w:b/>
          <w:bCs/>
          <w:color w:val="auto"/>
          <w:kern w:val="2"/>
          <w:sz w:val="32"/>
          <w:szCs w:val="32"/>
          <w:highlight w:val="none"/>
          <w:lang w:val="en-US" w:eastAsia="zh-CN" w:bidi="ar-SA"/>
        </w:rPr>
        <w:t>二是</w:t>
      </w:r>
      <w:r>
        <w:rPr>
          <w:rFonts w:hint="eastAsia" w:ascii="仿宋_GB2312" w:eastAsia="仿宋_GB2312" w:cs="仿宋_GB2312" w:hAnsiTheme="minorHAnsi"/>
          <w:color w:val="auto"/>
          <w:kern w:val="2"/>
          <w:sz w:val="32"/>
          <w:szCs w:val="32"/>
          <w:highlight w:val="none"/>
          <w:lang w:val="en-US" w:eastAsia="zh-CN" w:bidi="ar-SA"/>
        </w:rPr>
        <w:t>坚决守牢债务风险底线，紧紧围绕债务率、债务还本付息等重点指标，做足预算文章，严禁新增政府债务。</w:t>
      </w:r>
      <w:r>
        <w:rPr>
          <w:rFonts w:hint="eastAsia" w:ascii="仿宋_GB2312" w:eastAsia="仿宋_GB2312" w:cs="仿宋_GB2312" w:hAnsiTheme="minorHAnsi"/>
          <w:b/>
          <w:bCs/>
          <w:color w:val="auto"/>
          <w:kern w:val="2"/>
          <w:sz w:val="32"/>
          <w:szCs w:val="32"/>
          <w:highlight w:val="none"/>
          <w:lang w:val="en-US" w:eastAsia="zh-CN" w:bidi="ar-SA"/>
        </w:rPr>
        <w:t>三是</w:t>
      </w:r>
      <w:r>
        <w:rPr>
          <w:rFonts w:hint="eastAsia" w:ascii="仿宋_GB2312" w:eastAsia="仿宋_GB2312" w:cs="仿宋_GB2312" w:hAnsiTheme="minorHAnsi"/>
          <w:color w:val="auto"/>
          <w:kern w:val="2"/>
          <w:sz w:val="32"/>
          <w:szCs w:val="32"/>
          <w:highlight w:val="none"/>
          <w:lang w:val="en-US" w:eastAsia="zh-CN" w:bidi="ar-SA"/>
        </w:rPr>
        <w:t>加强政府隐性债务管理。遏制隐性债务增量，严格履行隐性债务化解计划，积极、妥善化解存量隐性债务，还本付息及时录入隐性债务统计监测平台，按时上报系统月报。</w:t>
      </w:r>
    </w:p>
    <w:p>
      <w:pPr>
        <w:keepNext w:val="0"/>
        <w:keepLines w:val="0"/>
        <w:pageBreakBefore w:val="0"/>
        <w:widowControl/>
        <w:numPr>
          <w:ilvl w:val="0"/>
          <w:numId w:val="2"/>
        </w:numPr>
        <w:pBdr>
          <w:bottom w:val="none" w:color="FFFFFF" w:sz="0" w:space="29"/>
        </w:pBdr>
        <w:kinsoku/>
        <w:wordWrap/>
        <w:overflowPunct w:val="0"/>
        <w:topLinePunct w:val="0"/>
        <w:autoSpaceDE w:val="0"/>
        <w:autoSpaceDN w:val="0"/>
        <w:bidi w:val="0"/>
        <w:adjustRightInd/>
        <w:snapToGrid/>
        <w:spacing w:line="560" w:lineRule="exact"/>
        <w:ind w:firstLine="643" w:firstLineChars="200"/>
        <w:contextualSpacing/>
        <w:jc w:val="left"/>
        <w:textAlignment w:val="auto"/>
        <w:rPr>
          <w:rFonts w:hint="eastAsia" w:ascii="楷体" w:hAnsi="楷体" w:eastAsia="楷体" w:cs="楷体"/>
          <w:b/>
          <w:bCs/>
          <w:i w:val="0"/>
          <w:iCs w:val="0"/>
          <w:caps w:val="0"/>
          <w:color w:val="333333"/>
          <w:spacing w:val="0"/>
          <w:sz w:val="32"/>
          <w:szCs w:val="32"/>
          <w:shd w:val="clear" w:fill="FFFFFF"/>
          <w:lang w:eastAsia="zh-CN"/>
        </w:rPr>
      </w:pPr>
      <w:r>
        <w:rPr>
          <w:rFonts w:hint="eastAsia" w:ascii="楷体" w:hAnsi="楷体" w:eastAsia="楷体" w:cs="楷体"/>
          <w:b/>
          <w:bCs/>
          <w:i w:val="0"/>
          <w:iCs w:val="0"/>
          <w:caps w:val="0"/>
          <w:color w:val="333333"/>
          <w:spacing w:val="0"/>
          <w:sz w:val="32"/>
          <w:szCs w:val="32"/>
          <w:shd w:val="clear" w:fill="FFFFFF"/>
          <w:lang w:eastAsia="zh-CN"/>
        </w:rPr>
        <w:t>强化监督管理，优化国企国资活力。</w:t>
      </w:r>
    </w:p>
    <w:p>
      <w:pPr>
        <w:keepNext w:val="0"/>
        <w:keepLines w:val="0"/>
        <w:pageBreakBefore w:val="0"/>
        <w:widowControl/>
        <w:numPr>
          <w:ilvl w:val="0"/>
          <w:numId w:val="0"/>
        </w:numPr>
        <w:pBdr>
          <w:bottom w:val="none" w:color="FFFFFF" w:sz="0" w:space="29"/>
        </w:pBdr>
        <w:kinsoku/>
        <w:wordWrap/>
        <w:overflowPunct w:val="0"/>
        <w:topLinePunct w:val="0"/>
        <w:autoSpaceDE w:val="0"/>
        <w:autoSpaceDN w:val="0"/>
        <w:bidi w:val="0"/>
        <w:adjustRightInd/>
        <w:snapToGrid/>
        <w:spacing w:line="560" w:lineRule="exact"/>
        <w:ind w:firstLine="643" w:firstLineChars="200"/>
        <w:contextualSpacing/>
        <w:jc w:val="left"/>
        <w:textAlignment w:val="auto"/>
        <w:rPr>
          <w:rFonts w:hint="eastAsia" w:ascii="仿宋_GB2312" w:eastAsia="仿宋_GB2312" w:cs="仿宋_GB2312" w:hAnsiTheme="minorHAnsi"/>
          <w:color w:val="auto"/>
          <w:kern w:val="2"/>
          <w:sz w:val="32"/>
          <w:szCs w:val="32"/>
          <w:highlight w:val="none"/>
          <w:lang w:val="en-US" w:eastAsia="zh-CN" w:bidi="ar-SA"/>
        </w:rPr>
      </w:pPr>
      <w:r>
        <w:rPr>
          <w:rFonts w:hint="eastAsia" w:ascii="仿宋_GB2312" w:eastAsia="仿宋_GB2312" w:cs="仿宋_GB2312" w:hAnsiTheme="minorHAnsi"/>
          <w:b/>
          <w:bCs/>
          <w:color w:val="auto"/>
          <w:kern w:val="2"/>
          <w:sz w:val="32"/>
          <w:szCs w:val="32"/>
          <w:highlight w:val="none"/>
          <w:lang w:val="en-US" w:eastAsia="zh-CN" w:bidi="ar-SA"/>
        </w:rPr>
        <w:t>一是</w:t>
      </w:r>
      <w:r>
        <w:rPr>
          <w:rFonts w:hint="eastAsia" w:ascii="仿宋_GB2312" w:eastAsia="仿宋_GB2312" w:cs="仿宋_GB2312" w:hAnsiTheme="minorHAnsi"/>
          <w:color w:val="auto"/>
          <w:kern w:val="2"/>
          <w:sz w:val="32"/>
          <w:szCs w:val="32"/>
          <w:highlight w:val="none"/>
          <w:lang w:val="en-US" w:eastAsia="zh-CN" w:bidi="ar-SA"/>
        </w:rPr>
        <w:t>完善制度建设。制定并印发我县2024年度行政事业单位国有资产盘活实施方案，充分利</w:t>
      </w:r>
      <w:r>
        <w:rPr>
          <w:rFonts w:hint="eastAsia" w:ascii="仿宋_GB2312" w:eastAsia="仿宋_GB2312"/>
          <w:sz w:val="32"/>
          <w:szCs w:val="32"/>
        </w:rPr>
        <w:t>用自用、共享、调剂、出</w:t>
      </w:r>
      <w:r>
        <w:rPr>
          <w:rFonts w:hint="eastAsia" w:ascii="仿宋_GB2312" w:eastAsia="仿宋_GB2312" w:cs="仿宋_GB2312" w:hAnsiTheme="minorHAnsi"/>
          <w:color w:val="auto"/>
          <w:kern w:val="2"/>
          <w:sz w:val="32"/>
          <w:szCs w:val="32"/>
          <w:highlight w:val="none"/>
          <w:lang w:val="en-US" w:eastAsia="zh-CN" w:bidi="ar-SA"/>
        </w:rPr>
        <w:t>租、处置、纳入公物仓、市场化运营管理等多种方式，盘活闲置资产，提高资产使用效益；及时修订《行政事业单位国有资产配置办法》《行政事业单位国有资产出租出借办法》等国有资产管理相关办法，规范配置、使用、处置的资产入口至出口的全链条管理，为国有资产保值增值提供制度保障。</w:t>
      </w:r>
      <w:r>
        <w:rPr>
          <w:rFonts w:hint="eastAsia" w:ascii="仿宋_GB2312" w:eastAsia="仿宋_GB2312" w:cs="仿宋_GB2312" w:hAnsiTheme="minorHAnsi"/>
          <w:b/>
          <w:bCs/>
          <w:color w:val="auto"/>
          <w:kern w:val="2"/>
          <w:sz w:val="32"/>
          <w:szCs w:val="32"/>
          <w:highlight w:val="none"/>
          <w:lang w:val="en-US" w:eastAsia="zh-CN" w:bidi="ar-SA"/>
        </w:rPr>
        <w:t>二是</w:t>
      </w:r>
      <w:r>
        <w:rPr>
          <w:rFonts w:hint="eastAsia" w:ascii="仿宋_GB2312" w:eastAsia="仿宋_GB2312" w:cs="仿宋_GB2312" w:hAnsiTheme="minorHAnsi"/>
          <w:color w:val="auto"/>
          <w:kern w:val="2"/>
          <w:sz w:val="32"/>
          <w:szCs w:val="32"/>
          <w:highlight w:val="none"/>
          <w:lang w:val="en-US" w:eastAsia="zh-CN" w:bidi="ar-SA"/>
        </w:rPr>
        <w:t>持续开展行政事业性国有资产数据专项治理工作。组织开展国有资产数据专项治理业务培训，全面检查资产系统数据，加快实现资产管理系统深入应用</w:t>
      </w:r>
      <w:r>
        <w:rPr>
          <w:rFonts w:hint="eastAsia" w:ascii="仿宋_GB2312" w:eastAsia="仿宋_GB2312" w:cs="仿宋_GB2312"/>
          <w:color w:val="auto"/>
          <w:kern w:val="2"/>
          <w:sz w:val="32"/>
          <w:szCs w:val="32"/>
          <w:highlight w:val="none"/>
          <w:lang w:val="en-US" w:eastAsia="zh-CN" w:bidi="ar-SA"/>
        </w:rPr>
        <w:t>。</w:t>
      </w:r>
      <w:r>
        <w:rPr>
          <w:rFonts w:hint="eastAsia" w:ascii="仿宋_GB2312" w:eastAsia="仿宋_GB2312" w:cs="仿宋_GB2312" w:hAnsiTheme="minorHAnsi"/>
          <w:b/>
          <w:bCs/>
          <w:color w:val="auto"/>
          <w:kern w:val="2"/>
          <w:sz w:val="32"/>
          <w:szCs w:val="32"/>
          <w:highlight w:val="none"/>
          <w:lang w:val="en-US" w:eastAsia="zh-CN" w:bidi="ar-SA"/>
        </w:rPr>
        <w:t>三是</w:t>
      </w:r>
      <w:r>
        <w:rPr>
          <w:rFonts w:hint="eastAsia" w:ascii="仿宋_GB2312" w:eastAsia="仿宋_GB2312" w:cs="仿宋_GB2312" w:hAnsiTheme="minorHAnsi"/>
          <w:color w:val="auto"/>
          <w:kern w:val="2"/>
          <w:sz w:val="32"/>
          <w:szCs w:val="32"/>
          <w:highlight w:val="none"/>
          <w:lang w:val="en-US" w:eastAsia="zh-CN" w:bidi="ar-SA"/>
        </w:rPr>
        <w:t>加强国企规范管理。对监管国有企业开展经营业绩绩效考核、工作台账报送等工作举措，实现多角度监管，提升国企监管效益。</w:t>
      </w:r>
      <w:r>
        <w:rPr>
          <w:rFonts w:hint="eastAsia" w:ascii="仿宋_GB2312" w:eastAsia="仿宋_GB2312" w:cs="仿宋_GB2312" w:hAnsiTheme="minorHAnsi"/>
          <w:b/>
          <w:bCs/>
          <w:color w:val="auto"/>
          <w:kern w:val="2"/>
          <w:sz w:val="32"/>
          <w:szCs w:val="32"/>
          <w:highlight w:val="none"/>
          <w:lang w:val="en-US" w:eastAsia="zh-CN" w:bidi="ar-SA"/>
        </w:rPr>
        <w:t>四是</w:t>
      </w:r>
      <w:r>
        <w:rPr>
          <w:rFonts w:hint="eastAsia" w:ascii="仿宋_GB2312" w:eastAsia="仿宋_GB2312" w:cs="仿宋_GB2312" w:hAnsiTheme="minorHAnsi"/>
          <w:color w:val="auto"/>
          <w:kern w:val="2"/>
          <w:sz w:val="32"/>
          <w:szCs w:val="32"/>
          <w:highlight w:val="none"/>
          <w:lang w:val="en-US" w:eastAsia="zh-CN" w:bidi="ar-SA"/>
        </w:rPr>
        <w:t>强化国有资产管理。组织开展国有企业名录管理相关工作，建立全口径、全级次国有企业名录，进一步理顺产权关系和管理关系，夯实国有企业和国有资产底数。</w:t>
      </w:r>
    </w:p>
    <w:p>
      <w:pPr>
        <w:overflowPunct w:val="0"/>
        <w:autoSpaceDE w:val="0"/>
        <w:autoSpaceDN w:val="0"/>
        <w:adjustRightInd w:val="0"/>
        <w:spacing w:line="580" w:lineRule="exact"/>
        <w:ind w:left="-13" w:firstLine="640" w:firstLineChars="200"/>
        <w:contextualSpacing/>
        <w:jc w:val="left"/>
        <w:textAlignment w:val="baseline"/>
        <w:rPr>
          <w:rFonts w:ascii="黑体" w:hAnsi="黑体" w:eastAsia="黑体" w:cs="黑体"/>
          <w:sz w:val="32"/>
          <w:szCs w:val="32"/>
        </w:rPr>
      </w:pPr>
      <w:r>
        <w:rPr>
          <w:rFonts w:hint="eastAsia" w:ascii="黑体" w:hAnsi="黑体" w:eastAsia="黑体" w:cs="黑体"/>
          <w:sz w:val="32"/>
          <w:szCs w:val="32"/>
        </w:rPr>
        <w:t>二、</w:t>
      </w:r>
      <w:r>
        <w:rPr>
          <w:rFonts w:ascii="黑体" w:hAnsi="黑体" w:eastAsia="黑体" w:cs="黑体"/>
          <w:sz w:val="32"/>
          <w:szCs w:val="32"/>
        </w:rPr>
        <w:t>202</w:t>
      </w:r>
      <w:r>
        <w:rPr>
          <w:rFonts w:hint="eastAsia" w:ascii="黑体" w:hAnsi="黑体" w:eastAsia="黑体" w:cs="黑体"/>
          <w:sz w:val="32"/>
          <w:szCs w:val="32"/>
          <w:lang w:val="en-US" w:eastAsia="zh-CN"/>
        </w:rPr>
        <w:t>5</w:t>
      </w:r>
      <w:r>
        <w:rPr>
          <w:rFonts w:hint="eastAsia" w:ascii="黑体" w:hAnsi="黑体" w:eastAsia="黑体" w:cs="黑体"/>
          <w:sz w:val="32"/>
          <w:szCs w:val="32"/>
        </w:rPr>
        <w:t>年财政预算草案</w:t>
      </w:r>
    </w:p>
    <w:p>
      <w:pPr>
        <w:overflowPunct w:val="0"/>
        <w:autoSpaceDE w:val="0"/>
        <w:autoSpaceDN w:val="0"/>
        <w:adjustRightInd w:val="0"/>
        <w:spacing w:line="580" w:lineRule="exact"/>
        <w:ind w:left="-13" w:firstLine="640" w:firstLineChars="200"/>
        <w:contextualSpacing/>
        <w:jc w:val="left"/>
        <w:textAlignment w:val="baseline"/>
        <w:rPr>
          <w:rFonts w:ascii="仿宋_GB2312" w:hAnsi="仿宋" w:eastAsia="仿宋_GB2312" w:cs="宋体"/>
          <w:kern w:val="0"/>
          <w:sz w:val="32"/>
          <w:szCs w:val="32"/>
        </w:rPr>
      </w:pPr>
      <w:r>
        <w:rPr>
          <w:rFonts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年预算编制的指导思想是：坚持稳中求进工作总基调，坚持新发展理念，坚持以供给侧结构性改革为主线，坚持以改革开放为动力，推动高质量发展，支持做好“六稳”工作，落实“六保”任务，</w:t>
      </w:r>
      <w:r>
        <w:rPr>
          <w:rFonts w:hint="eastAsia" w:ascii="仿宋_GB2312" w:hAnsi="仿宋" w:eastAsia="仿宋_GB2312" w:cs="宋体"/>
          <w:kern w:val="0"/>
          <w:sz w:val="32"/>
          <w:szCs w:val="32"/>
        </w:rPr>
        <w:t>进一步树牢过“紧日子”思想，强化预算绩效管理，调整优化支出结构，持续强化资金管理，扎实推进财政改革，防范化解财政风险，增强财政可持续性，全面推动高质量财政建设再上新水平，为新时代全面建设经济强县、美丽丰宁提供强有力的财政支撑。预算编制坚持深化改革、突出重点、优化结构、厉行节约、讲求绩效、统筹兼顾、依法理财的原则。</w:t>
      </w:r>
    </w:p>
    <w:p>
      <w:pPr>
        <w:overflowPunct w:val="0"/>
        <w:autoSpaceDE w:val="0"/>
        <w:autoSpaceDN w:val="0"/>
        <w:adjustRightInd w:val="0"/>
        <w:snapToGrid w:val="0"/>
        <w:spacing w:line="580" w:lineRule="exact"/>
        <w:ind w:firstLine="640" w:firstLineChars="200"/>
        <w:contextualSpacing/>
        <w:textAlignment w:val="baseline"/>
        <w:rPr>
          <w:rFonts w:ascii="仿宋_GB2312" w:hAnsi="仿宋" w:eastAsia="仿宋_GB2312" w:cs="宋体"/>
          <w:kern w:val="0"/>
          <w:sz w:val="32"/>
          <w:szCs w:val="32"/>
        </w:rPr>
      </w:pPr>
      <w:r>
        <w:rPr>
          <w:rFonts w:hint="eastAsia" w:ascii="仿宋_GB2312" w:hAnsi="仿宋" w:eastAsia="仿宋_GB2312" w:cs="宋体"/>
          <w:kern w:val="0"/>
          <w:sz w:val="32"/>
          <w:szCs w:val="32"/>
        </w:rPr>
        <w:t>按照上述指导思想和预算编制原则，</w:t>
      </w:r>
      <w:r>
        <w:rPr>
          <w:rFonts w:ascii="仿宋_GB2312" w:hAnsi="仿宋" w:eastAsia="仿宋_GB2312" w:cs="宋体"/>
          <w:kern w:val="0"/>
          <w:sz w:val="32"/>
          <w:szCs w:val="32"/>
        </w:rPr>
        <w:t>202</w:t>
      </w:r>
      <w:r>
        <w:rPr>
          <w:rFonts w:hint="eastAsia" w:ascii="仿宋_GB2312" w:hAnsi="仿宋" w:eastAsia="仿宋_GB2312" w:cs="宋体"/>
          <w:kern w:val="0"/>
          <w:sz w:val="32"/>
          <w:szCs w:val="32"/>
          <w:lang w:val="en-US" w:eastAsia="zh-CN"/>
        </w:rPr>
        <w:t>5</w:t>
      </w:r>
      <w:r>
        <w:rPr>
          <w:rFonts w:hint="eastAsia" w:ascii="仿宋_GB2312" w:hAnsi="仿宋" w:eastAsia="仿宋_GB2312" w:cs="宋体"/>
          <w:kern w:val="0"/>
          <w:sz w:val="32"/>
          <w:szCs w:val="32"/>
        </w:rPr>
        <w:t>年财政收支预算安排如下：</w:t>
      </w:r>
    </w:p>
    <w:p>
      <w:pPr>
        <w:overflowPunct w:val="0"/>
        <w:autoSpaceDE w:val="0"/>
        <w:autoSpaceDN w:val="0"/>
        <w:adjustRightInd w:val="0"/>
        <w:snapToGrid w:val="0"/>
        <w:spacing w:line="580" w:lineRule="exact"/>
        <w:ind w:firstLine="643" w:firstLineChars="200"/>
        <w:contextualSpacing/>
        <w:textAlignment w:val="baseline"/>
        <w:rPr>
          <w:rFonts w:ascii="仿宋_GB2312" w:hAnsi="仿宋" w:eastAsia="仿宋_GB2312" w:cs="仿宋_GB2312"/>
          <w:b/>
          <w:kern w:val="0"/>
          <w:sz w:val="32"/>
          <w:szCs w:val="32"/>
        </w:rPr>
      </w:pPr>
      <w:bookmarkStart w:id="1" w:name="_GoBack"/>
      <w:bookmarkEnd w:id="1"/>
      <w:r>
        <w:rPr>
          <w:rFonts w:ascii="仿宋_GB2312" w:hAnsi="仿宋" w:eastAsia="仿宋_GB2312" w:cs="仿宋_GB2312"/>
          <w:b/>
          <w:kern w:val="0"/>
          <w:sz w:val="32"/>
          <w:szCs w:val="32"/>
        </w:rPr>
        <w:t>1</w:t>
      </w:r>
      <w:r>
        <w:rPr>
          <w:rFonts w:hint="eastAsia" w:ascii="仿宋_GB2312" w:hAnsi="仿宋" w:eastAsia="仿宋_GB2312" w:cs="仿宋_GB2312"/>
          <w:b/>
          <w:kern w:val="0"/>
          <w:sz w:val="32"/>
          <w:szCs w:val="32"/>
        </w:rPr>
        <w:t>、一般公共预算收支情况</w:t>
      </w:r>
    </w:p>
    <w:p>
      <w:pPr>
        <w:overflowPunct w:val="0"/>
        <w:autoSpaceDE w:val="0"/>
        <w:autoSpaceDN w:val="0"/>
        <w:adjustRightInd w:val="0"/>
        <w:snapToGrid w:val="0"/>
        <w:spacing w:line="580" w:lineRule="exact"/>
        <w:ind w:firstLine="640" w:firstLineChars="200"/>
        <w:textAlignment w:val="baseline"/>
        <w:rPr>
          <w:rFonts w:ascii="仿宋_GB2312" w:hAnsi="仿宋" w:eastAsia="仿宋_GB2312" w:cs="宋体"/>
          <w:kern w:val="0"/>
          <w:sz w:val="32"/>
          <w:szCs w:val="32"/>
          <w:highlight w:val="none"/>
        </w:rPr>
      </w:pPr>
      <w:r>
        <w:rPr>
          <w:rFonts w:ascii="仿宋_GB2312" w:hAnsi="仿宋" w:eastAsia="仿宋_GB2312" w:cs="宋体"/>
          <w:kern w:val="0"/>
          <w:sz w:val="32"/>
          <w:szCs w:val="32"/>
        </w:rPr>
        <w:t>202</w:t>
      </w:r>
      <w:r>
        <w:rPr>
          <w:rFonts w:hint="eastAsia" w:ascii="仿宋_GB2312" w:hAnsi="仿宋" w:eastAsia="仿宋_GB2312" w:cs="宋体"/>
          <w:kern w:val="0"/>
          <w:sz w:val="32"/>
          <w:szCs w:val="32"/>
          <w:lang w:val="en-US" w:eastAsia="zh-CN"/>
        </w:rPr>
        <w:t>5</w:t>
      </w:r>
      <w:r>
        <w:rPr>
          <w:rFonts w:hint="eastAsia" w:ascii="仿宋_GB2312" w:hAnsi="仿宋" w:eastAsia="仿宋_GB2312" w:cs="宋体"/>
          <w:kern w:val="0"/>
          <w:sz w:val="32"/>
          <w:szCs w:val="32"/>
        </w:rPr>
        <w:t>年，县级一般公共预算收入计划安排</w:t>
      </w:r>
      <w:r>
        <w:rPr>
          <w:rFonts w:hint="eastAsia" w:ascii="仿宋_GB2312" w:hAnsi="仿宋" w:eastAsia="仿宋_GB2312" w:cs="宋体"/>
          <w:kern w:val="0"/>
          <w:sz w:val="32"/>
          <w:szCs w:val="32"/>
          <w:lang w:val="en-US" w:eastAsia="zh-CN"/>
        </w:rPr>
        <w:t>127540</w:t>
      </w:r>
      <w:r>
        <w:rPr>
          <w:rFonts w:hint="eastAsia" w:ascii="仿宋_GB2312" w:hAnsi="仿宋" w:eastAsia="仿宋_GB2312" w:cs="宋体"/>
          <w:kern w:val="0"/>
          <w:sz w:val="32"/>
          <w:szCs w:val="32"/>
        </w:rPr>
        <w:t>万元，增长</w:t>
      </w:r>
      <w:r>
        <w:rPr>
          <w:rFonts w:hint="eastAsia" w:ascii="仿宋_GB2312" w:hAnsi="仿宋" w:eastAsia="仿宋_GB2312" w:cs="宋体"/>
          <w:kern w:val="0"/>
          <w:sz w:val="32"/>
          <w:szCs w:val="32"/>
          <w:lang w:val="en-US" w:eastAsia="zh-CN"/>
        </w:rPr>
        <w:t>3</w:t>
      </w:r>
      <w:r>
        <w:rPr>
          <w:rFonts w:ascii="仿宋_GB2312" w:hAnsi="仿宋" w:eastAsia="仿宋_GB2312" w:cs="宋体"/>
          <w:kern w:val="0"/>
          <w:sz w:val="32"/>
          <w:szCs w:val="32"/>
        </w:rPr>
        <w:t>%</w:t>
      </w:r>
      <w:r>
        <w:rPr>
          <w:rFonts w:hint="eastAsia" w:ascii="仿宋_GB2312" w:hAnsi="仿宋" w:eastAsia="仿宋_GB2312" w:cs="宋体"/>
          <w:kern w:val="0"/>
          <w:sz w:val="32"/>
          <w:szCs w:val="32"/>
        </w:rPr>
        <w:t>。全县一般公共预算总收入预计</w:t>
      </w:r>
      <w:r>
        <w:rPr>
          <w:rFonts w:hint="eastAsia" w:ascii="仿宋_GB2312" w:hAnsi="仿宋" w:eastAsia="仿宋_GB2312" w:cs="宋体"/>
          <w:kern w:val="0"/>
          <w:sz w:val="32"/>
          <w:szCs w:val="32"/>
          <w:lang w:val="en-US" w:eastAsia="zh-CN"/>
        </w:rPr>
        <w:t>583038</w:t>
      </w:r>
      <w:r>
        <w:rPr>
          <w:rFonts w:hint="eastAsia" w:ascii="仿宋_GB2312" w:hAnsi="仿宋" w:eastAsia="仿宋_GB2312" w:cs="宋体"/>
          <w:kern w:val="0"/>
          <w:sz w:val="32"/>
          <w:szCs w:val="32"/>
        </w:rPr>
        <w:t>万元</w:t>
      </w:r>
      <w:r>
        <w:rPr>
          <w:rFonts w:hint="eastAsia" w:ascii="仿宋_GB2312" w:hAnsi="仿宋" w:eastAsia="仿宋_GB2312" w:cs="宋体"/>
          <w:kern w:val="0"/>
          <w:sz w:val="32"/>
          <w:szCs w:val="32"/>
          <w:lang w:val="en-US" w:eastAsia="zh-CN"/>
        </w:rPr>
        <w:t>,其中地方公共预算收入127540万元，返还性收入26361万元，财力性转移支付113966万元，提前下达一般和专项转移支付资金177672万元，调入资金56000万元，上年结余52041万元,动用预算稳定调节基金10858万元，债务转贷收入18600万元</w:t>
      </w: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highlight w:val="none"/>
        </w:rPr>
        <w:t>县本级一般公共预算收入</w:t>
      </w:r>
      <w:r>
        <w:rPr>
          <w:rFonts w:hint="eastAsia" w:ascii="仿宋_GB2312" w:hAnsi="仿宋" w:eastAsia="仿宋_GB2312" w:cs="宋体"/>
          <w:kern w:val="0"/>
          <w:sz w:val="32"/>
          <w:szCs w:val="32"/>
          <w:highlight w:val="none"/>
          <w:lang w:val="en-US" w:eastAsia="zh-CN"/>
        </w:rPr>
        <w:t>84176</w:t>
      </w:r>
      <w:r>
        <w:rPr>
          <w:rFonts w:hint="eastAsia" w:ascii="仿宋_GB2312" w:hAnsi="仿宋" w:eastAsia="仿宋_GB2312" w:cs="宋体"/>
          <w:kern w:val="0"/>
          <w:sz w:val="32"/>
          <w:szCs w:val="32"/>
          <w:highlight w:val="none"/>
        </w:rPr>
        <w:t>万元，税收</w:t>
      </w:r>
      <w:r>
        <w:rPr>
          <w:rFonts w:hint="eastAsia" w:ascii="仿宋_GB2312" w:hAnsi="仿宋" w:eastAsia="仿宋_GB2312" w:cs="宋体"/>
          <w:kern w:val="0"/>
          <w:sz w:val="32"/>
          <w:szCs w:val="32"/>
          <w:highlight w:val="none"/>
          <w:lang w:val="en-US" w:eastAsia="zh-CN"/>
        </w:rPr>
        <w:t>58636</w:t>
      </w:r>
      <w:r>
        <w:rPr>
          <w:rFonts w:hint="eastAsia" w:ascii="仿宋_GB2312" w:hAnsi="仿宋" w:eastAsia="仿宋_GB2312" w:cs="宋体"/>
          <w:kern w:val="0"/>
          <w:sz w:val="32"/>
          <w:szCs w:val="32"/>
          <w:highlight w:val="none"/>
        </w:rPr>
        <w:t>万元，非税</w:t>
      </w:r>
      <w:r>
        <w:rPr>
          <w:rFonts w:hint="eastAsia" w:ascii="仿宋_GB2312" w:hAnsi="仿宋" w:eastAsia="仿宋_GB2312" w:cs="宋体"/>
          <w:kern w:val="0"/>
          <w:sz w:val="32"/>
          <w:szCs w:val="32"/>
          <w:highlight w:val="none"/>
          <w:lang w:val="en-US" w:eastAsia="zh-CN"/>
        </w:rPr>
        <w:t>25540</w:t>
      </w:r>
      <w:r>
        <w:rPr>
          <w:rFonts w:hint="eastAsia" w:ascii="仿宋_GB2312" w:hAnsi="仿宋" w:eastAsia="仿宋_GB2312" w:cs="宋体"/>
          <w:kern w:val="0"/>
          <w:sz w:val="32"/>
          <w:szCs w:val="32"/>
          <w:highlight w:val="none"/>
        </w:rPr>
        <w:t>万元。</w:t>
      </w:r>
    </w:p>
    <w:p>
      <w:pPr>
        <w:overflowPunct w:val="0"/>
        <w:autoSpaceDE w:val="0"/>
        <w:autoSpaceDN w:val="0"/>
        <w:adjustRightInd w:val="0"/>
        <w:snapToGrid w:val="0"/>
        <w:spacing w:line="580" w:lineRule="exact"/>
        <w:ind w:firstLine="640" w:firstLineChars="200"/>
        <w:textAlignment w:val="baseline"/>
        <w:rPr>
          <w:rFonts w:ascii="仿宋_GB2312" w:hAnsi="仿宋" w:eastAsia="仿宋_GB2312"/>
          <w:sz w:val="32"/>
          <w:szCs w:val="32"/>
        </w:rPr>
      </w:pPr>
      <w:r>
        <w:rPr>
          <w:rFonts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全县总支出预计</w:t>
      </w:r>
      <w:r>
        <w:rPr>
          <w:rFonts w:hint="eastAsia" w:ascii="仿宋_GB2312" w:hAnsi="仿宋" w:eastAsia="仿宋_GB2312"/>
          <w:sz w:val="32"/>
          <w:szCs w:val="32"/>
          <w:lang w:val="en-US" w:eastAsia="zh-CN"/>
        </w:rPr>
        <w:t>583038</w:t>
      </w:r>
      <w:r>
        <w:rPr>
          <w:rFonts w:hint="eastAsia" w:ascii="仿宋_GB2312" w:hAnsi="仿宋" w:eastAsia="仿宋_GB2312"/>
          <w:sz w:val="32"/>
          <w:szCs w:val="32"/>
        </w:rPr>
        <w:t>万元，其中：一般公共预算支出计划安排</w:t>
      </w:r>
      <w:r>
        <w:rPr>
          <w:rFonts w:hint="eastAsia" w:ascii="仿宋_GB2312" w:hAnsi="仿宋" w:eastAsia="仿宋_GB2312"/>
          <w:sz w:val="32"/>
          <w:szCs w:val="32"/>
          <w:lang w:val="en-US" w:eastAsia="zh-CN"/>
        </w:rPr>
        <w:t>558169</w:t>
      </w:r>
      <w:r>
        <w:rPr>
          <w:rFonts w:hint="eastAsia" w:ascii="仿宋_GB2312" w:hAnsi="仿宋" w:eastAsia="仿宋_GB2312"/>
          <w:sz w:val="32"/>
          <w:szCs w:val="32"/>
        </w:rPr>
        <w:t>万元（含上级提前下达专项转移支付</w:t>
      </w:r>
      <w:r>
        <w:rPr>
          <w:rFonts w:hint="eastAsia" w:ascii="仿宋_GB2312" w:hAnsi="仿宋" w:eastAsia="仿宋_GB2312"/>
          <w:sz w:val="32"/>
          <w:szCs w:val="32"/>
          <w:lang w:val="en-US" w:eastAsia="zh-CN"/>
        </w:rPr>
        <w:t>177672</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），一般债券还本支出</w:t>
      </w:r>
      <w:r>
        <w:rPr>
          <w:rFonts w:hint="eastAsia" w:ascii="仿宋_GB2312" w:hAnsi="仿宋" w:eastAsia="仿宋_GB2312"/>
          <w:sz w:val="32"/>
          <w:szCs w:val="32"/>
          <w:lang w:val="en-US" w:eastAsia="zh-CN"/>
        </w:rPr>
        <w:t>20711</w:t>
      </w:r>
      <w:r>
        <w:rPr>
          <w:rFonts w:hint="eastAsia" w:ascii="仿宋_GB2312" w:hAnsi="仿宋" w:eastAsia="仿宋_GB2312"/>
          <w:sz w:val="32"/>
          <w:szCs w:val="32"/>
        </w:rPr>
        <w:t>万元、上解支出</w:t>
      </w:r>
      <w:r>
        <w:rPr>
          <w:rFonts w:hint="eastAsia" w:ascii="仿宋_GB2312" w:hAnsi="仿宋" w:eastAsia="仿宋_GB2312"/>
          <w:sz w:val="32"/>
          <w:szCs w:val="32"/>
          <w:lang w:val="en-US" w:eastAsia="zh-CN"/>
        </w:rPr>
        <w:t>4158</w:t>
      </w:r>
      <w:r>
        <w:rPr>
          <w:rFonts w:hint="eastAsia" w:ascii="仿宋_GB2312" w:hAnsi="仿宋" w:eastAsia="仿宋_GB2312"/>
          <w:sz w:val="32"/>
          <w:szCs w:val="32"/>
        </w:rPr>
        <w:t>万元。</w:t>
      </w:r>
    </w:p>
    <w:p>
      <w:pPr>
        <w:overflowPunct w:val="0"/>
        <w:autoSpaceDE w:val="0"/>
        <w:autoSpaceDN w:val="0"/>
        <w:adjustRightInd w:val="0"/>
        <w:snapToGrid w:val="0"/>
        <w:spacing w:line="580" w:lineRule="exact"/>
        <w:ind w:firstLine="640" w:firstLineChars="200"/>
        <w:textAlignment w:val="baseline"/>
        <w:rPr>
          <w:rFonts w:ascii="仿宋_GB2312" w:hAnsi="仿宋" w:eastAsia="仿宋_GB2312"/>
          <w:sz w:val="32"/>
          <w:szCs w:val="32"/>
        </w:rPr>
      </w:pPr>
      <w:r>
        <w:rPr>
          <w:rFonts w:hint="eastAsia" w:ascii="仿宋_GB2312" w:hAnsi="仿宋" w:eastAsia="仿宋_GB2312"/>
          <w:sz w:val="32"/>
          <w:szCs w:val="32"/>
        </w:rPr>
        <w:t>财力安排具体情况如下：</w:t>
      </w:r>
    </w:p>
    <w:p>
      <w:pPr>
        <w:overflowPunct w:val="0"/>
        <w:autoSpaceDE w:val="0"/>
        <w:autoSpaceDN w:val="0"/>
        <w:adjustRightInd w:val="0"/>
        <w:snapToGrid w:val="0"/>
        <w:spacing w:line="580" w:lineRule="exact"/>
        <w:ind w:firstLine="643" w:firstLineChars="200"/>
        <w:textAlignment w:val="baseline"/>
        <w:rPr>
          <w:rFonts w:ascii="仿宋_GB2312" w:hAnsi="仿宋" w:eastAsia="仿宋_GB2312"/>
          <w:sz w:val="32"/>
          <w:szCs w:val="32"/>
        </w:rPr>
      </w:pPr>
      <w:r>
        <w:rPr>
          <w:rFonts w:ascii="仿宋_GB2312" w:hAnsi="仿宋" w:eastAsia="仿宋_GB2312"/>
          <w:b/>
          <w:sz w:val="32"/>
          <w:szCs w:val="32"/>
        </w:rPr>
        <w:t>——</w:t>
      </w:r>
      <w:r>
        <w:rPr>
          <w:rFonts w:hint="eastAsia" w:ascii="仿宋_GB2312" w:hAnsi="仿宋" w:eastAsia="仿宋_GB2312"/>
          <w:b/>
          <w:sz w:val="32"/>
          <w:szCs w:val="32"/>
        </w:rPr>
        <w:t>人员经费支出拟安排</w:t>
      </w:r>
      <w:r>
        <w:rPr>
          <w:rFonts w:hint="eastAsia" w:ascii="仿宋_GB2312" w:hAnsi="仿宋" w:eastAsia="仿宋_GB2312"/>
          <w:b/>
          <w:sz w:val="32"/>
          <w:szCs w:val="32"/>
          <w:lang w:val="en-US" w:eastAsia="zh-CN"/>
        </w:rPr>
        <w:t>166986</w:t>
      </w:r>
      <w:r>
        <w:rPr>
          <w:rFonts w:hint="eastAsia" w:ascii="仿宋_GB2312" w:hAnsi="仿宋" w:eastAsia="仿宋_GB2312"/>
          <w:b/>
          <w:sz w:val="32"/>
          <w:szCs w:val="32"/>
        </w:rPr>
        <w:t>万元，</w:t>
      </w:r>
      <w:r>
        <w:rPr>
          <w:rFonts w:hint="eastAsia" w:ascii="仿宋_GB2312" w:hAnsi="仿宋" w:eastAsia="仿宋_GB2312"/>
          <w:sz w:val="32"/>
          <w:szCs w:val="32"/>
        </w:rPr>
        <w:t>占本级一般公共预算支出的</w:t>
      </w:r>
      <w:r>
        <w:rPr>
          <w:rFonts w:ascii="仿宋_GB2312" w:hAnsi="仿宋" w:eastAsia="仿宋_GB2312"/>
          <w:sz w:val="32"/>
          <w:szCs w:val="32"/>
        </w:rPr>
        <w:t>3</w:t>
      </w:r>
      <w:r>
        <w:rPr>
          <w:rFonts w:hint="eastAsia" w:ascii="仿宋_GB2312" w:hAnsi="仿宋" w:eastAsia="仿宋_GB2312"/>
          <w:sz w:val="32"/>
          <w:szCs w:val="32"/>
          <w:lang w:val="en-US" w:eastAsia="zh-CN"/>
        </w:rPr>
        <w:t>0</w:t>
      </w:r>
      <w:r>
        <w:rPr>
          <w:rFonts w:ascii="仿宋_GB2312" w:hAnsi="仿宋" w:eastAsia="仿宋_GB2312"/>
          <w:sz w:val="32"/>
          <w:szCs w:val="32"/>
        </w:rPr>
        <w:t>%</w:t>
      </w:r>
      <w:r>
        <w:rPr>
          <w:rFonts w:hint="eastAsia" w:ascii="仿宋_GB2312" w:hAnsi="仿宋" w:eastAsia="仿宋_GB2312"/>
          <w:sz w:val="32"/>
          <w:szCs w:val="32"/>
        </w:rPr>
        <w:t>。除现行政策外，暂不考虑其他新的增资政策。</w:t>
      </w:r>
    </w:p>
    <w:p>
      <w:pPr>
        <w:overflowPunct w:val="0"/>
        <w:autoSpaceDE w:val="0"/>
        <w:autoSpaceDN w:val="0"/>
        <w:adjustRightInd w:val="0"/>
        <w:snapToGrid w:val="0"/>
        <w:spacing w:line="580" w:lineRule="exact"/>
        <w:ind w:firstLine="643" w:firstLineChars="200"/>
        <w:textAlignment w:val="baseline"/>
        <w:rPr>
          <w:rFonts w:ascii="仿宋_GB2312" w:hAnsi="仿宋" w:eastAsia="仿宋_GB2312"/>
          <w:sz w:val="32"/>
          <w:szCs w:val="32"/>
        </w:rPr>
      </w:pPr>
      <w:r>
        <w:rPr>
          <w:rFonts w:ascii="仿宋_GB2312" w:hAnsi="仿宋" w:eastAsia="仿宋_GB2312"/>
          <w:b/>
          <w:sz w:val="32"/>
          <w:szCs w:val="32"/>
        </w:rPr>
        <w:t>——</w:t>
      </w:r>
      <w:r>
        <w:rPr>
          <w:rFonts w:hint="eastAsia" w:ascii="仿宋_GB2312" w:hAnsi="仿宋" w:eastAsia="仿宋_GB2312"/>
          <w:b/>
          <w:sz w:val="32"/>
          <w:szCs w:val="32"/>
        </w:rPr>
        <w:t>日常公用经费支出拟安排</w:t>
      </w:r>
      <w:r>
        <w:rPr>
          <w:rFonts w:hint="eastAsia" w:ascii="仿宋_GB2312" w:hAnsi="仿宋" w:eastAsia="仿宋_GB2312"/>
          <w:b/>
          <w:sz w:val="32"/>
          <w:szCs w:val="32"/>
          <w:lang w:val="en-US" w:eastAsia="zh-CN"/>
        </w:rPr>
        <w:t>6606</w:t>
      </w:r>
      <w:r>
        <w:rPr>
          <w:rFonts w:hint="eastAsia" w:ascii="仿宋_GB2312" w:hAnsi="仿宋" w:eastAsia="仿宋_GB2312"/>
          <w:b/>
          <w:sz w:val="32"/>
          <w:szCs w:val="32"/>
        </w:rPr>
        <w:t>万元，</w:t>
      </w:r>
      <w:r>
        <w:rPr>
          <w:rFonts w:hint="eastAsia" w:ascii="仿宋_GB2312" w:hAnsi="仿宋" w:eastAsia="仿宋_GB2312"/>
          <w:sz w:val="32"/>
          <w:szCs w:val="32"/>
        </w:rPr>
        <w:t>占本级一般公共预算支出的</w:t>
      </w:r>
      <w:r>
        <w:rPr>
          <w:rFonts w:ascii="仿宋_GB2312" w:hAnsi="仿宋" w:eastAsia="仿宋_GB2312"/>
          <w:sz w:val="32"/>
          <w:szCs w:val="32"/>
        </w:rPr>
        <w:t>1.</w:t>
      </w:r>
      <w:r>
        <w:rPr>
          <w:rFonts w:hint="eastAsia" w:ascii="仿宋_GB2312" w:hAnsi="仿宋" w:eastAsia="仿宋_GB2312"/>
          <w:sz w:val="32"/>
          <w:szCs w:val="32"/>
          <w:lang w:val="en-US" w:eastAsia="zh-CN"/>
        </w:rPr>
        <w:t>1</w:t>
      </w:r>
      <w:r>
        <w:rPr>
          <w:rFonts w:ascii="仿宋_GB2312" w:hAnsi="仿宋" w:eastAsia="仿宋_GB2312"/>
          <w:sz w:val="32"/>
          <w:szCs w:val="32"/>
        </w:rPr>
        <w:t>%</w:t>
      </w:r>
      <w:r>
        <w:rPr>
          <w:rFonts w:hint="eastAsia" w:ascii="仿宋_GB2312" w:hAnsi="仿宋" w:eastAsia="仿宋_GB2312"/>
          <w:sz w:val="32"/>
          <w:szCs w:val="32"/>
        </w:rPr>
        <w:t>。除有政策性保障标准的部门外，落实上级政策要求，进一步压减日常公用经费，降低行政运行成本。</w:t>
      </w:r>
    </w:p>
    <w:p>
      <w:pPr>
        <w:overflowPunct w:val="0"/>
        <w:autoSpaceDE w:val="0"/>
        <w:autoSpaceDN w:val="0"/>
        <w:adjustRightInd w:val="0"/>
        <w:snapToGrid w:val="0"/>
        <w:spacing w:line="580" w:lineRule="exact"/>
        <w:ind w:firstLine="643" w:firstLineChars="200"/>
        <w:textAlignment w:val="baseline"/>
        <w:rPr>
          <w:rFonts w:ascii="仿宋_GB2312" w:hAnsi="仿宋" w:eastAsia="仿宋_GB2312"/>
          <w:b/>
          <w:sz w:val="32"/>
          <w:szCs w:val="32"/>
        </w:rPr>
      </w:pPr>
      <w:r>
        <w:rPr>
          <w:rFonts w:ascii="仿宋_GB2312" w:hAnsi="仿宋" w:eastAsia="仿宋_GB2312"/>
          <w:b/>
          <w:sz w:val="32"/>
          <w:szCs w:val="32"/>
        </w:rPr>
        <w:t>——</w:t>
      </w:r>
      <w:r>
        <w:rPr>
          <w:rFonts w:hint="eastAsia" w:ascii="仿宋_GB2312" w:hAnsi="仿宋" w:eastAsia="仿宋_GB2312"/>
          <w:b/>
          <w:sz w:val="32"/>
          <w:szCs w:val="32"/>
        </w:rPr>
        <w:t>专项公用经费支出拟安排</w:t>
      </w:r>
      <w:r>
        <w:rPr>
          <w:rFonts w:hint="eastAsia" w:ascii="仿宋_GB2312" w:hAnsi="仿宋" w:eastAsia="仿宋_GB2312"/>
          <w:b/>
          <w:sz w:val="32"/>
          <w:szCs w:val="32"/>
          <w:highlight w:val="none"/>
          <w:lang w:val="en-US" w:eastAsia="zh-CN"/>
        </w:rPr>
        <w:t>36485</w:t>
      </w:r>
      <w:r>
        <w:rPr>
          <w:rFonts w:hint="eastAsia" w:ascii="仿宋_GB2312" w:hAnsi="仿宋" w:eastAsia="仿宋_GB2312"/>
          <w:b/>
          <w:sz w:val="32"/>
          <w:szCs w:val="32"/>
        </w:rPr>
        <w:t>万元，</w:t>
      </w:r>
      <w:r>
        <w:rPr>
          <w:rFonts w:hint="eastAsia" w:ascii="仿宋_GB2312" w:hAnsi="仿宋" w:eastAsia="仿宋_GB2312"/>
          <w:sz w:val="32"/>
          <w:szCs w:val="32"/>
        </w:rPr>
        <w:t>占本级一般公共预算支出的</w:t>
      </w:r>
      <w:r>
        <w:rPr>
          <w:rFonts w:hint="eastAsia" w:ascii="仿宋_GB2312" w:hAnsi="仿宋" w:eastAsia="仿宋_GB2312"/>
          <w:sz w:val="32"/>
          <w:szCs w:val="32"/>
          <w:lang w:val="en-US" w:eastAsia="zh-CN"/>
        </w:rPr>
        <w:t>6.5</w:t>
      </w:r>
      <w:r>
        <w:rPr>
          <w:rFonts w:ascii="仿宋_GB2312" w:hAnsi="仿宋" w:eastAsia="仿宋_GB2312"/>
          <w:sz w:val="32"/>
          <w:szCs w:val="32"/>
        </w:rPr>
        <w:t>%</w:t>
      </w:r>
      <w:r>
        <w:rPr>
          <w:rFonts w:hint="eastAsia" w:ascii="仿宋_GB2312" w:hAnsi="仿宋" w:eastAsia="仿宋_GB2312"/>
          <w:sz w:val="32"/>
          <w:szCs w:val="32"/>
        </w:rPr>
        <w:t>。按照“有保有压”的原则，对一次性专项公用经费进行了削减，对新增政策性事项予以适当保障</w:t>
      </w:r>
      <w:r>
        <w:rPr>
          <w:rFonts w:hint="eastAsia" w:ascii="仿宋_GB2312" w:hAnsi="仿宋" w:eastAsia="仿宋_GB2312"/>
          <w:b/>
          <w:sz w:val="32"/>
          <w:szCs w:val="32"/>
        </w:rPr>
        <w:t>。</w:t>
      </w:r>
    </w:p>
    <w:p>
      <w:pPr>
        <w:overflowPunct w:val="0"/>
        <w:autoSpaceDE w:val="0"/>
        <w:autoSpaceDN w:val="0"/>
        <w:adjustRightInd w:val="0"/>
        <w:snapToGrid w:val="0"/>
        <w:spacing w:line="580" w:lineRule="exact"/>
        <w:ind w:firstLine="643" w:firstLineChars="200"/>
        <w:textAlignment w:val="baseline"/>
        <w:rPr>
          <w:rFonts w:ascii="仿宋_GB2312" w:hAnsi="仿宋" w:eastAsia="仿宋_GB2312"/>
          <w:color w:val="000000"/>
          <w:sz w:val="32"/>
          <w:szCs w:val="32"/>
        </w:rPr>
      </w:pPr>
      <w:r>
        <w:rPr>
          <w:rFonts w:ascii="仿宋_GB2312" w:hAnsi="仿宋" w:eastAsia="仿宋_GB2312"/>
          <w:b/>
          <w:sz w:val="32"/>
          <w:szCs w:val="32"/>
        </w:rPr>
        <w:t>——</w:t>
      </w:r>
      <w:r>
        <w:rPr>
          <w:rFonts w:hint="eastAsia" w:ascii="仿宋_GB2312" w:hAnsi="仿宋" w:eastAsia="仿宋_GB2312"/>
          <w:b/>
          <w:sz w:val="32"/>
          <w:szCs w:val="32"/>
        </w:rPr>
        <w:t>专项项目及补贴类拟安排</w:t>
      </w:r>
      <w:r>
        <w:rPr>
          <w:rFonts w:hint="eastAsia" w:ascii="仿宋_GB2312" w:hAnsi="仿宋" w:eastAsia="仿宋_GB2312"/>
          <w:b/>
          <w:sz w:val="32"/>
          <w:szCs w:val="32"/>
          <w:highlight w:val="none"/>
          <w:lang w:val="en-US" w:eastAsia="zh-CN"/>
        </w:rPr>
        <w:t>118377</w:t>
      </w:r>
      <w:r>
        <w:rPr>
          <w:rFonts w:hint="eastAsia" w:ascii="仿宋_GB2312" w:hAnsi="仿宋" w:eastAsia="仿宋_GB2312"/>
          <w:b/>
          <w:sz w:val="32"/>
          <w:szCs w:val="32"/>
          <w:highlight w:val="none"/>
        </w:rPr>
        <w:t>万元</w:t>
      </w:r>
      <w:r>
        <w:rPr>
          <w:rFonts w:hint="eastAsia" w:ascii="仿宋_GB2312" w:hAnsi="仿宋" w:eastAsia="仿宋_GB2312"/>
          <w:b/>
          <w:sz w:val="32"/>
          <w:szCs w:val="32"/>
        </w:rPr>
        <w:t>，</w:t>
      </w:r>
      <w:r>
        <w:rPr>
          <w:rFonts w:hint="eastAsia" w:ascii="仿宋_GB2312" w:hAnsi="仿宋" w:eastAsia="仿宋_GB2312"/>
          <w:sz w:val="32"/>
          <w:szCs w:val="32"/>
        </w:rPr>
        <w:t>占本级一般公共预算支出的</w:t>
      </w:r>
      <w:r>
        <w:rPr>
          <w:rFonts w:hint="eastAsia" w:ascii="仿宋_GB2312" w:hAnsi="仿宋" w:eastAsia="仿宋_GB2312"/>
          <w:sz w:val="32"/>
          <w:szCs w:val="32"/>
          <w:lang w:val="en-US" w:eastAsia="zh-CN"/>
        </w:rPr>
        <w:t>21.2</w:t>
      </w:r>
      <w:r>
        <w:rPr>
          <w:rFonts w:ascii="仿宋_GB2312" w:hAnsi="仿宋" w:eastAsia="仿宋_GB2312"/>
          <w:sz w:val="32"/>
          <w:szCs w:val="32"/>
        </w:rPr>
        <w:t>%</w:t>
      </w:r>
      <w:r>
        <w:rPr>
          <w:rFonts w:hint="eastAsia" w:ascii="仿宋_GB2312" w:hAnsi="仿宋" w:eastAsia="仿宋_GB2312"/>
          <w:sz w:val="32"/>
          <w:szCs w:val="32"/>
        </w:rPr>
        <w:t>。按现行政策标准保障基本民生支出需求；政府购买服务等政府支出责任项目、以及巩固脱贫攻坚及衔接乡村振兴资金等；其他建设类项目因财力所限暂</w:t>
      </w:r>
      <w:r>
        <w:rPr>
          <w:rFonts w:hint="eastAsia" w:ascii="仿宋_GB2312" w:hAnsi="仿宋" w:eastAsia="仿宋_GB2312"/>
          <w:color w:val="000000"/>
          <w:sz w:val="32"/>
          <w:szCs w:val="32"/>
        </w:rPr>
        <w:t>未能全部列入预算。</w:t>
      </w:r>
    </w:p>
    <w:p>
      <w:pPr>
        <w:overflowPunct w:val="0"/>
        <w:autoSpaceDE w:val="0"/>
        <w:autoSpaceDN w:val="0"/>
        <w:adjustRightInd w:val="0"/>
        <w:snapToGrid w:val="0"/>
        <w:spacing w:line="560" w:lineRule="exact"/>
        <w:ind w:firstLine="643" w:firstLineChars="200"/>
        <w:textAlignment w:val="baseline"/>
        <w:rPr>
          <w:rFonts w:ascii="仿宋_GB2312" w:hAnsi="仿宋" w:eastAsia="仿宋_GB2312"/>
          <w:sz w:val="32"/>
          <w:szCs w:val="32"/>
        </w:rPr>
      </w:pPr>
      <w:r>
        <w:rPr>
          <w:rFonts w:ascii="仿宋_GB2312" w:hAnsi="仿宋" w:eastAsia="仿宋_GB2312" w:cs="宋体"/>
          <w:b/>
          <w:kern w:val="0"/>
          <w:sz w:val="32"/>
          <w:szCs w:val="32"/>
        </w:rPr>
        <w:t>2.</w:t>
      </w:r>
      <w:r>
        <w:rPr>
          <w:rFonts w:hint="eastAsia" w:ascii="仿宋_GB2312" w:hAnsi="仿宋" w:eastAsia="仿宋_GB2312" w:cs="宋体"/>
          <w:b/>
          <w:kern w:val="0"/>
          <w:sz w:val="32"/>
          <w:szCs w:val="32"/>
        </w:rPr>
        <w:t>政府性基金收支预算情况：</w:t>
      </w:r>
      <w:r>
        <w:rPr>
          <w:rFonts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年，政府性基金收入预算安排</w:t>
      </w:r>
      <w:r>
        <w:rPr>
          <w:rFonts w:hint="eastAsia" w:ascii="仿宋_GB2312" w:hAnsi="仿宋" w:eastAsia="仿宋_GB2312"/>
          <w:sz w:val="32"/>
          <w:szCs w:val="32"/>
          <w:lang w:val="en-US" w:eastAsia="zh-CN"/>
        </w:rPr>
        <w:t>126142</w:t>
      </w:r>
      <w:r>
        <w:rPr>
          <w:rFonts w:hint="eastAsia" w:ascii="仿宋_GB2312" w:hAnsi="仿宋" w:eastAsia="仿宋_GB2312"/>
          <w:sz w:val="32"/>
          <w:szCs w:val="32"/>
        </w:rPr>
        <w:t>万元，比上年增长</w:t>
      </w:r>
      <w:r>
        <w:rPr>
          <w:rFonts w:hint="eastAsia" w:ascii="仿宋_GB2312" w:hAnsi="仿宋" w:eastAsia="仿宋_GB2312"/>
          <w:sz w:val="32"/>
          <w:szCs w:val="32"/>
          <w:lang w:val="en-US" w:eastAsia="zh-CN"/>
        </w:rPr>
        <w:t>25.1</w:t>
      </w:r>
      <w:r>
        <w:rPr>
          <w:rFonts w:ascii="仿宋_GB2312" w:hAnsi="仿宋" w:eastAsia="仿宋_GB2312"/>
          <w:sz w:val="32"/>
          <w:szCs w:val="32"/>
        </w:rPr>
        <w:t>%</w:t>
      </w:r>
      <w:r>
        <w:rPr>
          <w:rFonts w:hint="eastAsia" w:ascii="仿宋_GB2312" w:hAnsi="仿宋" w:eastAsia="仿宋_GB2312"/>
          <w:sz w:val="32"/>
          <w:szCs w:val="32"/>
        </w:rPr>
        <w:t>，其中：国有土地使用权出让金收入安排</w:t>
      </w:r>
      <w:r>
        <w:rPr>
          <w:rFonts w:ascii="仿宋_GB2312" w:hAnsi="仿宋" w:eastAsia="仿宋_GB2312"/>
          <w:sz w:val="32"/>
          <w:szCs w:val="32"/>
        </w:rPr>
        <w:t>7400</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万元。根据以收定支、收支平衡的原则，政府性基金支出预算安排</w:t>
      </w:r>
      <w:r>
        <w:rPr>
          <w:rFonts w:hint="eastAsia" w:ascii="仿宋_GB2312" w:hAnsi="仿宋" w:eastAsia="仿宋_GB2312"/>
          <w:sz w:val="32"/>
          <w:szCs w:val="32"/>
          <w:lang w:val="en-US" w:eastAsia="zh-CN"/>
        </w:rPr>
        <w:t>126142</w:t>
      </w:r>
      <w:r>
        <w:rPr>
          <w:rFonts w:hint="eastAsia" w:ascii="仿宋_GB2312" w:hAnsi="仿宋" w:eastAsia="仿宋_GB2312"/>
          <w:color w:val="000000"/>
          <w:sz w:val="32"/>
          <w:szCs w:val="32"/>
        </w:rPr>
        <w:t>万</w:t>
      </w:r>
      <w:r>
        <w:rPr>
          <w:rFonts w:hint="eastAsia" w:ascii="仿宋_GB2312" w:hAnsi="仿宋" w:eastAsia="仿宋_GB2312"/>
          <w:sz w:val="32"/>
          <w:szCs w:val="32"/>
        </w:rPr>
        <w:t>元（包括上级提前下达补助资金</w:t>
      </w:r>
      <w:r>
        <w:rPr>
          <w:rFonts w:hint="eastAsia" w:ascii="仿宋_GB2312" w:hAnsi="仿宋" w:eastAsia="仿宋_GB2312"/>
          <w:sz w:val="32"/>
          <w:szCs w:val="32"/>
          <w:lang w:val="en-US" w:eastAsia="zh-CN"/>
        </w:rPr>
        <w:t>790</w:t>
      </w:r>
      <w:r>
        <w:rPr>
          <w:rFonts w:hint="eastAsia" w:ascii="仿宋_GB2312" w:hAnsi="仿宋" w:eastAsia="仿宋_GB2312"/>
          <w:sz w:val="32"/>
          <w:szCs w:val="32"/>
        </w:rPr>
        <w:t>万元），其中：国有土地使用权出让金安排的支出</w:t>
      </w:r>
      <w:r>
        <w:rPr>
          <w:rFonts w:hint="eastAsia" w:ascii="仿宋_GB2312" w:hAnsi="仿宋" w:eastAsia="仿宋_GB2312"/>
          <w:sz w:val="32"/>
          <w:szCs w:val="32"/>
          <w:lang w:val="en-US" w:eastAsia="zh-CN"/>
        </w:rPr>
        <w:t>21914</w:t>
      </w:r>
      <w:r>
        <w:rPr>
          <w:rFonts w:hint="eastAsia" w:ascii="仿宋_GB2312" w:hAnsi="仿宋" w:eastAsia="仿宋_GB2312"/>
          <w:sz w:val="32"/>
          <w:szCs w:val="32"/>
        </w:rPr>
        <w:t>万元，专项债券还本支出安排</w:t>
      </w:r>
      <w:r>
        <w:rPr>
          <w:rFonts w:hint="eastAsia" w:ascii="仿宋_GB2312" w:hAnsi="仿宋" w:eastAsia="仿宋_GB2312"/>
          <w:sz w:val="32"/>
          <w:szCs w:val="32"/>
          <w:lang w:val="en-US" w:eastAsia="zh-CN"/>
        </w:rPr>
        <w:t>39555</w:t>
      </w:r>
      <w:r>
        <w:rPr>
          <w:rFonts w:hint="eastAsia" w:ascii="仿宋_GB2312" w:hAnsi="仿宋" w:eastAsia="仿宋_GB2312"/>
          <w:sz w:val="32"/>
          <w:szCs w:val="32"/>
        </w:rPr>
        <w:t>万元，调入一般公共预算</w:t>
      </w:r>
      <w:r>
        <w:rPr>
          <w:rFonts w:hint="eastAsia" w:ascii="仿宋_GB2312" w:hAnsi="仿宋" w:eastAsia="仿宋_GB2312"/>
          <w:sz w:val="32"/>
          <w:szCs w:val="32"/>
          <w:lang w:val="en-US" w:eastAsia="zh-CN"/>
        </w:rPr>
        <w:t>42000</w:t>
      </w:r>
      <w:r>
        <w:rPr>
          <w:rFonts w:hint="eastAsia" w:ascii="仿宋_GB2312" w:hAnsi="仿宋" w:eastAsia="仿宋_GB2312"/>
          <w:sz w:val="32"/>
          <w:szCs w:val="32"/>
        </w:rPr>
        <w:t>万元。</w:t>
      </w:r>
    </w:p>
    <w:p>
      <w:pPr>
        <w:overflowPunct w:val="0"/>
        <w:autoSpaceDE w:val="0"/>
        <w:autoSpaceDN w:val="0"/>
        <w:adjustRightInd w:val="0"/>
        <w:snapToGrid w:val="0"/>
        <w:spacing w:line="560" w:lineRule="exact"/>
        <w:ind w:firstLine="640" w:firstLineChars="200"/>
        <w:textAlignment w:val="baseline"/>
        <w:rPr>
          <w:rFonts w:ascii="仿宋_GB2312" w:hAnsi="仿宋" w:eastAsia="仿宋_GB2312" w:cs="宋体"/>
          <w:kern w:val="0"/>
          <w:sz w:val="32"/>
          <w:szCs w:val="32"/>
        </w:rPr>
      </w:pPr>
      <w:r>
        <w:rPr>
          <w:rFonts w:hint="eastAsia" w:ascii="仿宋_GB2312" w:hAnsi="仿宋" w:eastAsia="仿宋_GB2312" w:cs="宋体"/>
          <w:kern w:val="0"/>
          <w:sz w:val="32"/>
          <w:szCs w:val="32"/>
        </w:rPr>
        <w:t>县本级政府性基金预算安排情况与全县总预算相同。</w:t>
      </w:r>
    </w:p>
    <w:p>
      <w:pPr>
        <w:overflowPunct w:val="0"/>
        <w:autoSpaceDE w:val="0"/>
        <w:autoSpaceDN w:val="0"/>
        <w:adjustRightInd w:val="0"/>
        <w:snapToGrid w:val="0"/>
        <w:spacing w:line="560" w:lineRule="exact"/>
        <w:ind w:firstLine="643" w:firstLineChars="200"/>
        <w:textAlignment w:val="baseline"/>
        <w:rPr>
          <w:rFonts w:ascii="仿宋_GB2312" w:hAnsi="仿宋" w:eastAsia="仿宋_GB2312"/>
          <w:sz w:val="32"/>
          <w:szCs w:val="32"/>
        </w:rPr>
      </w:pPr>
      <w:r>
        <w:rPr>
          <w:rFonts w:ascii="仿宋_GB2312" w:hAnsi="仿宋" w:eastAsia="仿宋_GB2312"/>
          <w:b/>
          <w:kern w:val="0"/>
          <w:sz w:val="32"/>
          <w:szCs w:val="32"/>
        </w:rPr>
        <w:t>3</w:t>
      </w:r>
      <w:r>
        <w:rPr>
          <w:rFonts w:ascii="仿宋_GB2312" w:hAnsi="仿宋" w:eastAsia="仿宋_GB2312"/>
          <w:kern w:val="0"/>
          <w:sz w:val="32"/>
          <w:szCs w:val="32"/>
        </w:rPr>
        <w:t>.</w:t>
      </w:r>
      <w:r>
        <w:rPr>
          <w:rFonts w:hint="eastAsia" w:ascii="仿宋_GB2312" w:hAnsi="仿宋" w:eastAsia="仿宋_GB2312"/>
          <w:b/>
          <w:kern w:val="0"/>
          <w:sz w:val="32"/>
          <w:szCs w:val="32"/>
        </w:rPr>
        <w:t>国有资本经营收支预算情况</w:t>
      </w:r>
      <w:r>
        <w:rPr>
          <w:rFonts w:hint="eastAsia" w:ascii="仿宋_GB2312" w:hAnsi="仿宋" w:eastAsia="仿宋_GB2312"/>
          <w:kern w:val="0"/>
          <w:sz w:val="32"/>
          <w:szCs w:val="32"/>
        </w:rPr>
        <w:t>。</w:t>
      </w:r>
      <w:r>
        <w:rPr>
          <w:rFonts w:hint="eastAsia" w:ascii="仿宋_GB2312" w:hAnsi="仿宋" w:eastAsia="仿宋_GB2312"/>
          <w:sz w:val="32"/>
          <w:szCs w:val="32"/>
        </w:rPr>
        <w:t>根据上级提前下达转移支付资金情况，本年编制国有资本经营预算。</w:t>
      </w:r>
      <w:r>
        <w:rPr>
          <w:rFonts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年，国有资本经营收入预算安排</w:t>
      </w:r>
      <w:r>
        <w:rPr>
          <w:rFonts w:hint="eastAsia" w:ascii="仿宋_GB2312" w:hAnsi="仿宋" w:eastAsia="仿宋_GB2312"/>
          <w:sz w:val="32"/>
          <w:szCs w:val="32"/>
          <w:lang w:val="en-US" w:eastAsia="zh-CN"/>
        </w:rPr>
        <w:t>15075</w:t>
      </w:r>
      <w:r>
        <w:rPr>
          <w:rFonts w:hint="eastAsia" w:ascii="仿宋_GB2312" w:hAnsi="仿宋" w:eastAsia="仿宋_GB2312"/>
          <w:sz w:val="32"/>
          <w:szCs w:val="32"/>
        </w:rPr>
        <w:t>万元，国有资本经营支出预算安排</w:t>
      </w:r>
      <w:r>
        <w:rPr>
          <w:rFonts w:hint="eastAsia" w:ascii="仿宋_GB2312" w:hAnsi="仿宋" w:eastAsia="仿宋_GB2312"/>
          <w:sz w:val="32"/>
          <w:szCs w:val="32"/>
          <w:lang w:val="en-US" w:eastAsia="zh-CN"/>
        </w:rPr>
        <w:t>15075</w:t>
      </w:r>
      <w:r>
        <w:rPr>
          <w:rFonts w:hint="eastAsia" w:ascii="仿宋_GB2312" w:hAnsi="仿宋" w:eastAsia="仿宋_GB2312"/>
          <w:sz w:val="32"/>
          <w:szCs w:val="32"/>
        </w:rPr>
        <w:t>万元，年度预算收支平衡。</w:t>
      </w:r>
    </w:p>
    <w:p>
      <w:pPr>
        <w:overflowPunct w:val="0"/>
        <w:autoSpaceDE w:val="0"/>
        <w:autoSpaceDN w:val="0"/>
        <w:adjustRightInd w:val="0"/>
        <w:snapToGrid w:val="0"/>
        <w:spacing w:line="560" w:lineRule="exact"/>
        <w:ind w:firstLine="643" w:firstLineChars="200"/>
        <w:textAlignment w:val="baseline"/>
        <w:rPr>
          <w:rFonts w:ascii="仿宋_GB2312" w:hAnsi="仿宋" w:eastAsia="仿宋_GB2312"/>
          <w:sz w:val="32"/>
          <w:szCs w:val="32"/>
        </w:rPr>
      </w:pPr>
      <w:r>
        <w:rPr>
          <w:rFonts w:ascii="仿宋_GB2312" w:hAnsi="仿宋" w:eastAsia="仿宋_GB2312" w:cs="宋体"/>
          <w:b/>
          <w:kern w:val="0"/>
          <w:sz w:val="32"/>
          <w:szCs w:val="32"/>
        </w:rPr>
        <w:t>4.</w:t>
      </w:r>
      <w:r>
        <w:rPr>
          <w:rFonts w:hint="eastAsia" w:ascii="仿宋_GB2312" w:hAnsi="仿宋" w:eastAsia="仿宋_GB2312" w:cs="宋体"/>
          <w:b/>
          <w:kern w:val="0"/>
          <w:sz w:val="32"/>
          <w:szCs w:val="32"/>
        </w:rPr>
        <w:t>社会保险基金收支预算情况：</w:t>
      </w:r>
      <w:r>
        <w:rPr>
          <w:rFonts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年，社会保险基金预算收入安排</w:t>
      </w:r>
      <w:r>
        <w:rPr>
          <w:rFonts w:hint="eastAsia" w:ascii="仿宋_GB2312" w:hAnsi="仿宋" w:eastAsia="仿宋_GB2312"/>
          <w:sz w:val="32"/>
          <w:szCs w:val="32"/>
          <w:lang w:val="en-US" w:eastAsia="zh-CN"/>
        </w:rPr>
        <w:t>64112</w:t>
      </w:r>
      <w:r>
        <w:rPr>
          <w:rFonts w:hint="eastAsia" w:ascii="仿宋_GB2312" w:hAnsi="仿宋" w:eastAsia="仿宋_GB2312"/>
          <w:sz w:val="32"/>
          <w:szCs w:val="32"/>
        </w:rPr>
        <w:t>万元，</w:t>
      </w:r>
      <w:r>
        <w:rPr>
          <w:rFonts w:hint="eastAsia" w:ascii="仿宋_GB2312" w:hAnsi="仿宋" w:eastAsia="仿宋_GB2312"/>
          <w:sz w:val="32"/>
          <w:szCs w:val="32"/>
          <w:highlight w:val="none"/>
        </w:rPr>
        <w:t>增长</w:t>
      </w:r>
      <w:r>
        <w:rPr>
          <w:rFonts w:hint="eastAsia" w:ascii="仿宋_GB2312" w:hAnsi="仿宋" w:eastAsia="仿宋_GB2312"/>
          <w:sz w:val="32"/>
          <w:szCs w:val="32"/>
          <w:highlight w:val="none"/>
          <w:lang w:val="en-US" w:eastAsia="zh-CN"/>
        </w:rPr>
        <w:t>10.2</w:t>
      </w:r>
      <w:r>
        <w:rPr>
          <w:rFonts w:ascii="仿宋_GB2312" w:hAnsi="仿宋" w:eastAsia="仿宋_GB2312"/>
          <w:sz w:val="32"/>
          <w:szCs w:val="32"/>
          <w:highlight w:val="none"/>
        </w:rPr>
        <w:t>%</w:t>
      </w:r>
      <w:r>
        <w:rPr>
          <w:rFonts w:hint="eastAsia" w:ascii="仿宋_GB2312" w:hAnsi="仿宋" w:eastAsia="仿宋_GB2312"/>
          <w:sz w:val="32"/>
          <w:szCs w:val="32"/>
          <w:highlight w:val="none"/>
        </w:rPr>
        <w:t>；</w:t>
      </w:r>
      <w:r>
        <w:rPr>
          <w:rFonts w:hint="eastAsia" w:ascii="仿宋_GB2312" w:hAnsi="仿宋" w:eastAsia="仿宋_GB2312"/>
          <w:sz w:val="32"/>
          <w:szCs w:val="32"/>
        </w:rPr>
        <w:t>社会保险基金支出预算安排</w:t>
      </w:r>
      <w:r>
        <w:rPr>
          <w:rFonts w:ascii="仿宋_GB2312" w:hAnsi="仿宋" w:eastAsia="仿宋_GB2312"/>
          <w:sz w:val="32"/>
          <w:szCs w:val="32"/>
        </w:rPr>
        <w:t xml:space="preserve"> </w:t>
      </w:r>
      <w:r>
        <w:rPr>
          <w:rFonts w:hint="eastAsia" w:ascii="仿宋_GB2312" w:hAnsi="仿宋" w:eastAsia="仿宋_GB2312"/>
          <w:sz w:val="32"/>
          <w:szCs w:val="32"/>
          <w:lang w:val="en-US" w:eastAsia="zh-CN"/>
        </w:rPr>
        <w:t>60918</w:t>
      </w:r>
      <w:r>
        <w:rPr>
          <w:rFonts w:hint="eastAsia" w:ascii="仿宋_GB2312" w:hAnsi="仿宋" w:eastAsia="仿宋_GB2312"/>
          <w:sz w:val="32"/>
          <w:szCs w:val="32"/>
        </w:rPr>
        <w:t>万元，</w:t>
      </w:r>
      <w:r>
        <w:rPr>
          <w:rFonts w:hint="eastAsia" w:ascii="仿宋_GB2312" w:hAnsi="仿宋" w:eastAsia="仿宋_GB2312"/>
          <w:sz w:val="32"/>
          <w:szCs w:val="32"/>
          <w:highlight w:val="none"/>
        </w:rPr>
        <w:t>增长</w:t>
      </w:r>
      <w:r>
        <w:rPr>
          <w:rFonts w:hint="eastAsia" w:ascii="仿宋_GB2312" w:hAnsi="仿宋" w:eastAsia="仿宋_GB2312"/>
          <w:sz w:val="32"/>
          <w:szCs w:val="32"/>
          <w:highlight w:val="none"/>
          <w:lang w:val="en-US" w:eastAsia="zh-CN"/>
        </w:rPr>
        <w:t>10.6</w:t>
      </w:r>
      <w:r>
        <w:rPr>
          <w:rFonts w:ascii="仿宋_GB2312" w:hAnsi="仿宋" w:eastAsia="仿宋_GB2312"/>
          <w:sz w:val="32"/>
          <w:szCs w:val="32"/>
          <w:highlight w:val="none"/>
        </w:rPr>
        <w:t>%</w:t>
      </w:r>
      <w:r>
        <w:rPr>
          <w:rFonts w:hint="eastAsia" w:ascii="仿宋_GB2312" w:hAnsi="仿宋" w:eastAsia="仿宋_GB2312"/>
          <w:sz w:val="32"/>
          <w:szCs w:val="32"/>
        </w:rPr>
        <w:t>。</w:t>
      </w:r>
    </w:p>
    <w:p>
      <w:pPr>
        <w:overflowPunct w:val="0"/>
        <w:autoSpaceDE w:val="0"/>
        <w:autoSpaceDN w:val="0"/>
        <w:adjustRightInd w:val="0"/>
        <w:snapToGrid w:val="0"/>
        <w:spacing w:line="560" w:lineRule="exact"/>
        <w:ind w:firstLine="640" w:firstLineChars="200"/>
        <w:textAlignment w:val="baseline"/>
        <w:rPr>
          <w:rFonts w:ascii="仿宋_GB2312" w:hAnsi="仿宋" w:eastAsia="仿宋_GB2312" w:cs="宋体"/>
          <w:kern w:val="0"/>
          <w:sz w:val="32"/>
          <w:szCs w:val="32"/>
        </w:rPr>
      </w:pPr>
      <w:r>
        <w:rPr>
          <w:rFonts w:hint="eastAsia" w:ascii="仿宋_GB2312" w:hAnsi="仿宋" w:eastAsia="仿宋_GB2312" w:cs="宋体"/>
          <w:kern w:val="0"/>
          <w:sz w:val="32"/>
          <w:szCs w:val="32"/>
        </w:rPr>
        <w:t>县本级社保基金预算安排情况与全县总预算相同。</w:t>
      </w:r>
    </w:p>
    <w:p>
      <w:pPr>
        <w:overflowPunct w:val="0"/>
        <w:autoSpaceDE w:val="0"/>
        <w:autoSpaceDN w:val="0"/>
        <w:adjustRightInd w:val="0"/>
        <w:spacing w:line="560" w:lineRule="exact"/>
        <w:ind w:left="-13" w:firstLine="640" w:firstLineChars="200"/>
        <w:contextualSpacing/>
        <w:jc w:val="left"/>
        <w:textAlignment w:val="baseline"/>
        <w:rPr>
          <w:rFonts w:ascii="黑体" w:hAnsi="黑体" w:eastAsia="黑体" w:cs="黑体"/>
          <w:sz w:val="32"/>
          <w:szCs w:val="32"/>
        </w:rPr>
      </w:pPr>
      <w:r>
        <w:rPr>
          <w:rFonts w:hint="eastAsia" w:ascii="黑体" w:hAnsi="黑体" w:eastAsia="黑体" w:cs="黑体"/>
          <w:sz w:val="32"/>
          <w:szCs w:val="32"/>
        </w:rPr>
        <w:t>三、</w:t>
      </w:r>
      <w:r>
        <w:rPr>
          <w:rFonts w:ascii="黑体" w:hAnsi="黑体" w:eastAsia="黑体" w:cs="黑体"/>
          <w:sz w:val="32"/>
          <w:szCs w:val="32"/>
        </w:rPr>
        <w:t>202</w:t>
      </w:r>
      <w:r>
        <w:rPr>
          <w:rFonts w:hint="eastAsia" w:ascii="黑体" w:hAnsi="黑体" w:eastAsia="黑体" w:cs="黑体"/>
          <w:sz w:val="32"/>
          <w:szCs w:val="32"/>
          <w:lang w:val="en-US" w:eastAsia="zh-CN"/>
        </w:rPr>
        <w:t>5</w:t>
      </w:r>
      <w:r>
        <w:rPr>
          <w:rFonts w:hint="eastAsia" w:ascii="黑体" w:hAnsi="黑体" w:eastAsia="黑体" w:cs="黑体"/>
          <w:sz w:val="32"/>
          <w:szCs w:val="32"/>
        </w:rPr>
        <w:t>年主要工作和措施</w:t>
      </w:r>
    </w:p>
    <w:p>
      <w:pPr>
        <w:overflowPunct w:val="0"/>
        <w:autoSpaceDE w:val="0"/>
        <w:autoSpaceDN w:val="0"/>
        <w:adjustRightInd w:val="0"/>
        <w:snapToGrid w:val="0"/>
        <w:spacing w:line="560" w:lineRule="exact"/>
        <w:ind w:firstLine="640" w:firstLineChars="200"/>
        <w:textAlignment w:val="baseline"/>
        <w:rPr>
          <w:rFonts w:hint="eastAsia" w:ascii="仿宋_GB2312" w:hAnsi="仿宋" w:eastAsia="仿宋_GB2312" w:cs="仿宋_GB2312"/>
          <w:sz w:val="32"/>
          <w:szCs w:val="32"/>
        </w:rPr>
      </w:pPr>
      <w:r>
        <w:rPr>
          <w:rFonts w:ascii="仿宋_GB2312" w:hAnsi="仿宋" w:eastAsia="仿宋_GB2312" w:cs="仿宋_GB2312"/>
          <w:sz w:val="32"/>
          <w:szCs w:val="32"/>
        </w:rPr>
        <w:t>202</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年我们将继续严格落实中央、省市县的各项部署，严格落实预算法和县人代会有关决议，积极推出有利于经济稳定的财政政策，以稳求进、以进促稳，努力推动我县经济实现质的稳步提升和量的合理增长。</w:t>
      </w:r>
    </w:p>
    <w:p>
      <w:pPr>
        <w:pStyle w:val="5"/>
        <w:numPr>
          <w:ilvl w:val="0"/>
          <w:numId w:val="0"/>
        </w:numPr>
        <w:ind w:firstLine="321" w:firstLineChars="100"/>
        <w:rPr>
          <w:rFonts w:hint="eastAsia" w:ascii="仿宋_GB2312" w:hAnsi="仿宋_GB2312" w:eastAsia="仿宋_GB2312" w:cs="仿宋_GB2312"/>
          <w:b w:val="0"/>
          <w:bCs w:val="0"/>
          <w:sz w:val="32"/>
          <w:szCs w:val="32"/>
          <w:lang w:val="en-US" w:eastAsia="zh-CN"/>
        </w:rPr>
      </w:pPr>
      <w:r>
        <w:rPr>
          <w:rFonts w:hint="eastAsia" w:ascii="楷体_GB2312" w:hAnsi="楷体_GB2312" w:cs="楷体_GB2312"/>
          <w:b/>
          <w:bCs/>
          <w:sz w:val="32"/>
          <w:szCs w:val="32"/>
          <w:lang w:val="en-US" w:eastAsia="zh-CN"/>
        </w:rPr>
        <w:t>（一）</w:t>
      </w:r>
      <w:r>
        <w:rPr>
          <w:rFonts w:hint="eastAsia" w:ascii="楷体_GB2312" w:hAnsi="楷体_GB2312" w:eastAsia="楷体_GB2312" w:cs="楷体_GB2312"/>
          <w:b/>
          <w:bCs/>
          <w:sz w:val="32"/>
          <w:szCs w:val="32"/>
          <w:lang w:val="en-US" w:eastAsia="zh-CN"/>
        </w:rPr>
        <w:t>承压奋进，高质量抓聚财增收，做好开源“生财”文章。</w:t>
      </w:r>
      <w:r>
        <w:rPr>
          <w:rFonts w:hint="eastAsia" w:ascii="仿宋_GB2312" w:hAnsi="仿宋_GB2312" w:eastAsia="仿宋_GB2312" w:cs="仿宋_GB2312"/>
          <w:b w:val="0"/>
          <w:bCs w:val="0"/>
          <w:sz w:val="32"/>
          <w:szCs w:val="32"/>
          <w:lang w:val="en-US" w:eastAsia="zh-CN"/>
        </w:rPr>
        <w:t>支持实体经济发展，积极涵养优质财源，加快培育新的财税增长点，形成财政增收与经济增长的良性循环。坚定不移抓实收入，准确把握财税收入变化趋势，突出抓重点企业、重点行业、重点项目的税收征管，做大做优财政蛋糕。积极盘活存量资源资产，持续推进国有“三资”清查处置，着力挖潜增收，聚焦盘活城镇资产处置，形成可用财力服务稳增长、防风险、保民生。全力争取资金支持，紧密跟踪中央、省级政策动向，积极争取转移支付、新增债券及各类改革政策试点。用活用好各类财政工具，保持与上级财政部门密切沟通，强化重点领域能力建设。</w:t>
      </w:r>
    </w:p>
    <w:p>
      <w:pPr>
        <w:numPr>
          <w:ilvl w:val="0"/>
          <w:numId w:val="0"/>
        </w:numPr>
        <w:ind w:firstLine="321" w:firstLineChars="100"/>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（二）优化支出，高标准抓重点保障，做好科学“用财”文章。</w:t>
      </w:r>
      <w:r>
        <w:rPr>
          <w:rFonts w:hint="eastAsia" w:ascii="仿宋_GB2312" w:hAnsi="仿宋_GB2312" w:eastAsia="仿宋_GB2312" w:cs="仿宋_GB2312"/>
          <w:b w:val="0"/>
          <w:bCs w:val="0"/>
          <w:sz w:val="32"/>
          <w:szCs w:val="32"/>
          <w:lang w:val="en-US" w:eastAsia="zh-CN"/>
        </w:rPr>
        <w:t>全面梳理可统筹使用财力，按照“三保”支出、政府债务还本付息支出、大事要事支出、一般性事业发展支出、其他支出五级顺序安排。落实民生保障重点任务，把严把紧预算关口，严控一般性支出，从紧安排必要支出，集中有限财力保重点、办大事，全面审核清理政策项目支出，取消到期政策资金，确保财政资金用在刀刃上。强化厉行节约，按照量入为出、量力而行原则，将财政供养人员、政府性投资、节庆论坛展会、政府购买服务等行为纳入约束范围，通过预算减、执行控、部门压等举措，积极推动党政机关习惯过紧日子。</w:t>
      </w:r>
    </w:p>
    <w:p>
      <w:pPr>
        <w:numPr>
          <w:ilvl w:val="0"/>
          <w:numId w:val="0"/>
        </w:numPr>
        <w:ind w:firstLine="321" w:firstLineChars="100"/>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（三）守牢底线，高要求抓风险防控，做好安全“理财”文章。</w:t>
      </w:r>
      <w:r>
        <w:rPr>
          <w:rFonts w:hint="eastAsia" w:ascii="仿宋_GB2312" w:hAnsi="仿宋_GB2312" w:eastAsia="仿宋_GB2312" w:cs="仿宋_GB2312"/>
          <w:b w:val="0"/>
          <w:bCs w:val="0"/>
          <w:sz w:val="32"/>
          <w:szCs w:val="32"/>
          <w:lang w:val="en-US" w:eastAsia="zh-CN"/>
        </w:rPr>
        <w:t>坚决兜牢“三保”底线，始终坚持“三保”优先顺序，严格执行财政资金直达机制，落实“三保”预算执行监测和库款保障机制。防范化解债务风险，更好统筹发展和安全，严格落实化债举措，债务还本付息资金足额列入年初预算，逐步化解地方债务风险，重点关注债务率，确保处于合理区间，严禁违法违规新增隐性债务。</w:t>
      </w:r>
      <w:r>
        <w:rPr>
          <w:rFonts w:hint="eastAsia" w:ascii="仿宋_GB2312" w:hAnsi="宋体" w:eastAsia="仿宋_GB2312" w:cs="仿宋_GB2312"/>
          <w:sz w:val="32"/>
          <w:szCs w:val="32"/>
          <w:shd w:val="clear" w:color="auto" w:fill="FFFFFF"/>
        </w:rPr>
        <w:t>坚持暂付款“严控新增”和“消化存量”两手抓，确保暂付款余额“只减不增”，不发生违规新增暂付款行为。</w:t>
      </w:r>
      <w:r>
        <w:rPr>
          <w:rFonts w:hint="eastAsia" w:ascii="仿宋_GB2312" w:hAnsi="仿宋_GB2312" w:eastAsia="仿宋_GB2312" w:cs="仿宋_GB2312"/>
          <w:b w:val="0"/>
          <w:bCs w:val="0"/>
          <w:sz w:val="32"/>
          <w:szCs w:val="32"/>
          <w:lang w:val="en-US" w:eastAsia="zh-CN"/>
        </w:rPr>
        <w:t>全面依法理财，切实严肃财经纪律，把日常财会监督、财政专项检查、推进财务管理监督常态化检查等工作落到实处，着力提升预算部门内控管理，从源头上预防和减少财政资金使用风险。</w:t>
      </w:r>
    </w:p>
    <w:p>
      <w:pPr>
        <w:numPr>
          <w:ilvl w:val="0"/>
          <w:numId w:val="0"/>
        </w:numPr>
        <w:ind w:firstLine="321" w:firstLineChars="100"/>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（四）科学谋划，高效率抓财政改革，做好规范“管财”文章。</w:t>
      </w:r>
      <w:r>
        <w:rPr>
          <w:rFonts w:hint="eastAsia" w:ascii="仿宋_GB2312" w:hAnsi="仿宋_GB2312" w:eastAsia="仿宋_GB2312" w:cs="仿宋_GB2312"/>
          <w:b w:val="0"/>
          <w:bCs w:val="0"/>
          <w:sz w:val="32"/>
          <w:szCs w:val="32"/>
          <w:lang w:val="en-US" w:eastAsia="zh-CN"/>
        </w:rPr>
        <w:t>深入推进“零基预算”改革，严格遵守“先定事后定钱”的原则，让资金跟着项目走、项目跟着政策走，不再采取“基数+增长”方式安排部门预算，所有支出均“以零为基”实事求是安排，严格支出预算安排顺序，构建能增能减、有保有压的新型资金分配机制。深化国企国资改革，构建国资监管大格局，着力意识形态和国有资本保值增值管理，提升国资监管水平，增强监管合力，严防国有资本流失。深化预算绩效管理，全力打造预算绩效全周期闭环管理，着力提高财政资源配置效率和使用效益，改变资金分配固化格局，提高财政资金管理水平和政策实施效果。</w:t>
      </w:r>
    </w:p>
    <w:p>
      <w:pPr>
        <w:pBdr>
          <w:bottom w:val="single" w:color="FFFFFF" w:sz="4" w:space="17"/>
        </w:pBd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 w:eastAsia="仿宋_GB2312"/>
          <w:sz w:val="32"/>
          <w:szCs w:val="32"/>
        </w:rPr>
        <w:t>各位代表！艰难方显勇毅，磨砺使得玉成，</w:t>
      </w:r>
      <w:r>
        <w:rPr>
          <w:rFonts w:hint="eastAsia" w:ascii="仿宋_GB2312" w:eastAsia="仿宋_GB2312"/>
          <w:sz w:val="32"/>
          <w:szCs w:val="32"/>
        </w:rPr>
        <w:t>新的一年，我们将在县委的坚强领导下，在县人大和县政协监</w:t>
      </w:r>
      <w:r>
        <w:rPr>
          <w:rFonts w:hint="eastAsia" w:ascii="仿宋_GB2312" w:hAnsi="仿宋_GB2312" w:eastAsia="仿宋_GB2312" w:cs="仿宋_GB2312"/>
          <w:sz w:val="32"/>
          <w:szCs w:val="32"/>
        </w:rPr>
        <w:t>督指导下，履职尽责，奋勇拼搏，坚持稳中求进工作总基调，扎实抓好财政工作，为推动高质量发展提供坚实的财政保障！</w:t>
      </w:r>
    </w:p>
    <w:p/>
    <w:p>
      <w:pPr>
        <w:adjustRightInd w:val="0"/>
        <w:spacing w:line="580" w:lineRule="exact"/>
        <w:rPr>
          <w:rFonts w:ascii="黑体" w:hAnsi="仿宋" w:eastAsia="黑体"/>
          <w:sz w:val="32"/>
          <w:szCs w:val="32"/>
        </w:rPr>
      </w:pPr>
      <w:r>
        <w:rPr>
          <w:rFonts w:ascii="黑体" w:hAnsi="仿宋" w:eastAsia="黑体"/>
          <w:sz w:val="32"/>
          <w:szCs w:val="32"/>
        </w:rPr>
        <w:br w:type="page"/>
      </w:r>
      <w:r>
        <w:rPr>
          <w:rFonts w:hint="eastAsia" w:ascii="黑体" w:hAnsi="仿宋" w:eastAsia="黑体"/>
          <w:sz w:val="32"/>
          <w:szCs w:val="32"/>
        </w:rPr>
        <w:t>注释：</w:t>
      </w:r>
    </w:p>
    <w:p>
      <w:pPr>
        <w:adjustRightInd w:val="0"/>
        <w:spacing w:line="580" w:lineRule="exact"/>
        <w:ind w:firstLine="643" w:firstLineChars="200"/>
        <w:rPr>
          <w:rFonts w:ascii="仿宋_GB2312" w:hAnsi="仿宋" w:eastAsia="仿宋_GB2312"/>
          <w:sz w:val="32"/>
          <w:szCs w:val="32"/>
        </w:rPr>
      </w:pPr>
      <w:r>
        <w:rPr>
          <w:rFonts w:ascii="仿宋_GB2312" w:hAnsi="仿宋" w:eastAsia="仿宋_GB2312"/>
          <w:b/>
          <w:sz w:val="32"/>
          <w:szCs w:val="32"/>
        </w:rPr>
        <w:t>1.</w:t>
      </w:r>
      <w:r>
        <w:rPr>
          <w:rFonts w:hint="eastAsia" w:ascii="仿宋_GB2312" w:hAnsi="仿宋" w:eastAsia="仿宋_GB2312"/>
          <w:b/>
          <w:sz w:val="32"/>
          <w:szCs w:val="32"/>
        </w:rPr>
        <w:t>一般公共预算收入：</w:t>
      </w:r>
      <w:r>
        <w:rPr>
          <w:rFonts w:hint="eastAsia" w:ascii="仿宋_GB2312" w:hAnsi="仿宋" w:eastAsia="仿宋_GB2312"/>
          <w:sz w:val="32"/>
          <w:szCs w:val="32"/>
        </w:rPr>
        <w:t>指某行政区域内，剔除上级分享税收后留成给当地政府的预算收入。一般公共预算收入属于地方政府所有，可以直接用于地方事务和建设支出，是反映各级政府财政能力的主要指标，是地方财力的重要组成部分之一。</w:t>
      </w:r>
    </w:p>
    <w:p>
      <w:pPr>
        <w:adjustRightInd w:val="0"/>
        <w:spacing w:line="580" w:lineRule="exact"/>
        <w:ind w:firstLine="643" w:firstLineChars="200"/>
        <w:rPr>
          <w:rFonts w:ascii="仿宋_GB2312" w:hAnsi="仿宋" w:eastAsia="仿宋_GB2312"/>
          <w:sz w:val="32"/>
          <w:szCs w:val="32"/>
        </w:rPr>
      </w:pPr>
      <w:r>
        <w:rPr>
          <w:rFonts w:ascii="仿宋_GB2312" w:hAnsi="仿宋" w:eastAsia="仿宋_GB2312"/>
          <w:b/>
          <w:sz w:val="32"/>
          <w:szCs w:val="32"/>
        </w:rPr>
        <w:t>2.</w:t>
      </w:r>
      <w:r>
        <w:rPr>
          <w:rFonts w:hint="eastAsia" w:ascii="仿宋_GB2312" w:hAnsi="仿宋" w:eastAsia="仿宋_GB2312"/>
          <w:b/>
          <w:sz w:val="32"/>
          <w:szCs w:val="32"/>
        </w:rPr>
        <w:t>全部财政收入：</w:t>
      </w:r>
      <w:r>
        <w:rPr>
          <w:rFonts w:hint="eastAsia" w:ascii="仿宋_GB2312" w:hAnsi="仿宋" w:eastAsia="仿宋_GB2312"/>
          <w:sz w:val="32"/>
          <w:szCs w:val="32"/>
        </w:rPr>
        <w:t>是指某行政区域内，各级政府（包括上级）财政收入的总和。全部财政收入是税收收入和非税收入的总和，可体现一个国家和地区的综合经济实力。</w:t>
      </w:r>
    </w:p>
    <w:p>
      <w:pPr>
        <w:adjustRightInd w:val="0"/>
        <w:spacing w:line="580" w:lineRule="exact"/>
        <w:ind w:firstLine="643" w:firstLineChars="200"/>
        <w:rPr>
          <w:rFonts w:ascii="仿宋_GB2312" w:hAnsi="仿宋" w:eastAsia="仿宋_GB2312"/>
          <w:sz w:val="32"/>
          <w:szCs w:val="32"/>
        </w:rPr>
      </w:pPr>
      <w:r>
        <w:rPr>
          <w:rFonts w:ascii="仿宋_GB2312" w:hAnsi="仿宋" w:eastAsia="仿宋_GB2312"/>
          <w:b/>
          <w:sz w:val="32"/>
          <w:szCs w:val="32"/>
        </w:rPr>
        <w:t>3.</w:t>
      </w:r>
      <w:r>
        <w:rPr>
          <w:rFonts w:hint="eastAsia" w:ascii="仿宋_GB2312" w:hAnsi="仿宋" w:eastAsia="仿宋_GB2312"/>
          <w:b/>
          <w:sz w:val="32"/>
          <w:szCs w:val="32"/>
        </w:rPr>
        <w:t>县级一般公共预算支出：</w:t>
      </w:r>
      <w:r>
        <w:rPr>
          <w:rFonts w:hint="eastAsia" w:ascii="仿宋_GB2312" w:hAnsi="仿宋" w:eastAsia="仿宋_GB2312"/>
          <w:sz w:val="32"/>
          <w:szCs w:val="32"/>
        </w:rPr>
        <w:t>包括县本级支出、对上级政府的上解支出、对乡镇政府的税收返还和转移支付。</w:t>
      </w:r>
    </w:p>
    <w:p>
      <w:pPr>
        <w:adjustRightInd w:val="0"/>
        <w:spacing w:line="580" w:lineRule="exact"/>
        <w:ind w:firstLine="643" w:firstLineChars="200"/>
        <w:rPr>
          <w:rFonts w:ascii="仿宋_GB2312" w:hAnsi="仿宋" w:eastAsia="仿宋_GB2312"/>
          <w:sz w:val="32"/>
          <w:szCs w:val="32"/>
        </w:rPr>
      </w:pPr>
      <w:r>
        <w:rPr>
          <w:rFonts w:ascii="仿宋_GB2312" w:hAnsi="仿宋" w:eastAsia="仿宋_GB2312"/>
          <w:b/>
          <w:sz w:val="32"/>
          <w:szCs w:val="32"/>
        </w:rPr>
        <w:t>4.</w:t>
      </w:r>
      <w:r>
        <w:rPr>
          <w:rFonts w:hint="eastAsia" w:ascii="仿宋_GB2312" w:hAnsi="仿宋" w:eastAsia="仿宋_GB2312"/>
          <w:b/>
          <w:sz w:val="32"/>
          <w:szCs w:val="32"/>
        </w:rPr>
        <w:t>政府性基金：</w:t>
      </w:r>
      <w:r>
        <w:rPr>
          <w:rFonts w:hint="eastAsia" w:ascii="仿宋_GB2312" w:hAnsi="仿宋" w:eastAsia="仿宋_GB2312"/>
          <w:sz w:val="32"/>
          <w:szCs w:val="32"/>
        </w:rPr>
        <w:t>是指各级人民政府及其所属部门根据法律、国家行政法规和中共中央、国务院有关文件的规定，为支持某项事业发展，按照国家规定程序批准，向公民、法人和其他组织征收的具有专项用途的资金。包括各种基金、资金、附加和专项收费。</w:t>
      </w:r>
    </w:p>
    <w:p>
      <w:pPr>
        <w:spacing w:line="580" w:lineRule="exact"/>
        <w:ind w:firstLine="643" w:firstLineChars="200"/>
        <w:rPr>
          <w:rFonts w:ascii="仿宋_GB2312" w:hAnsi="仿宋" w:eastAsia="仿宋_GB2312"/>
          <w:sz w:val="32"/>
          <w:szCs w:val="32"/>
        </w:rPr>
      </w:pPr>
      <w:r>
        <w:rPr>
          <w:rFonts w:ascii="仿宋_GB2312" w:hAnsi="仿宋" w:eastAsia="仿宋_GB2312"/>
          <w:b/>
          <w:sz w:val="32"/>
          <w:szCs w:val="32"/>
        </w:rPr>
        <w:t>5.</w:t>
      </w:r>
      <w:r>
        <w:rPr>
          <w:rFonts w:hint="eastAsia" w:ascii="仿宋_GB2312" w:hAnsi="仿宋" w:eastAsia="仿宋_GB2312"/>
          <w:b/>
          <w:sz w:val="32"/>
          <w:szCs w:val="32"/>
        </w:rPr>
        <w:t>社会保险基金：</w:t>
      </w:r>
      <w:r>
        <w:rPr>
          <w:rFonts w:hint="eastAsia" w:ascii="仿宋_GB2312" w:hAnsi="仿宋" w:eastAsia="仿宋_GB2312"/>
          <w:sz w:val="32"/>
          <w:szCs w:val="32"/>
        </w:rPr>
        <w:t>是指为了保障保险对象的社会保险待遇，按照国家法律、法规，由缴费单位和缴费个人分别按缴费基数的一定比例缴纳以及通过其他合法方式筹集的专项资金。包括：基本养老保险基金、基本医疗保险基金、工伤保险基金、失业保险基金和生育保险基金。</w:t>
      </w:r>
    </w:p>
    <w:p>
      <w:pPr>
        <w:adjustRightInd w:val="0"/>
        <w:spacing w:line="580" w:lineRule="exact"/>
        <w:ind w:firstLine="643" w:firstLineChars="200"/>
        <w:rPr>
          <w:rFonts w:ascii="仿宋_GB2312" w:hAnsi="仿宋" w:eastAsia="仿宋_GB2312"/>
          <w:sz w:val="32"/>
          <w:szCs w:val="32"/>
        </w:rPr>
      </w:pPr>
      <w:r>
        <w:rPr>
          <w:rFonts w:ascii="仿宋_GB2312" w:hAnsi="仿宋" w:eastAsia="仿宋_GB2312"/>
          <w:b/>
          <w:sz w:val="32"/>
          <w:szCs w:val="32"/>
        </w:rPr>
        <w:t>6.</w:t>
      </w:r>
      <w:r>
        <w:rPr>
          <w:rFonts w:hint="eastAsia" w:ascii="仿宋_GB2312" w:hAnsi="仿宋" w:eastAsia="仿宋_GB2312"/>
          <w:b/>
          <w:sz w:val="32"/>
          <w:szCs w:val="32"/>
        </w:rPr>
        <w:t>绩效预算管理：</w:t>
      </w:r>
      <w:r>
        <w:rPr>
          <w:rFonts w:hint="eastAsia" w:ascii="仿宋_GB2312" w:hAnsi="仿宋" w:eastAsia="仿宋_GB2312"/>
          <w:sz w:val="32"/>
          <w:szCs w:val="32"/>
        </w:rPr>
        <w:t>是指为优化财政资源配置和提升公共服务水平，运用绩效理念和方法，将绩效目标编制、运行跟踪、绩效评价、结果应用等融入预算编制、执行、监督全过程，实现“预算编制有目标，预算执行有监控，预算完成有评价，评价结果有反馈，反馈结果有应用”的预算管理模式。</w:t>
      </w:r>
    </w:p>
    <w:p>
      <w:pPr>
        <w:snapToGrid w:val="0"/>
        <w:spacing w:line="580" w:lineRule="exact"/>
        <w:ind w:firstLine="643" w:firstLineChars="200"/>
        <w:rPr>
          <w:rFonts w:ascii="仿宋_GB2312" w:hAnsi="仿宋" w:eastAsia="仿宋_GB2312" w:cs="宋体"/>
          <w:kern w:val="0"/>
          <w:sz w:val="22"/>
        </w:rPr>
      </w:pPr>
      <w:r>
        <w:rPr>
          <w:rFonts w:ascii="仿宋_GB2312" w:hAnsi="仿宋" w:eastAsia="仿宋_GB2312"/>
          <w:b/>
          <w:sz w:val="32"/>
          <w:szCs w:val="32"/>
        </w:rPr>
        <w:t>7.</w:t>
      </w:r>
      <w:r>
        <w:rPr>
          <w:rFonts w:hint="eastAsia" w:ascii="仿宋_GB2312" w:hAnsi="仿宋" w:eastAsia="仿宋_GB2312"/>
          <w:b/>
          <w:sz w:val="32"/>
          <w:szCs w:val="32"/>
        </w:rPr>
        <w:t>结转资金：</w:t>
      </w:r>
      <w:r>
        <w:rPr>
          <w:rFonts w:hint="eastAsia" w:ascii="仿宋_GB2312" w:hAnsi="仿宋" w:eastAsia="仿宋_GB2312" w:cs="宋体"/>
          <w:kern w:val="0"/>
          <w:sz w:val="32"/>
          <w:szCs w:val="32"/>
        </w:rPr>
        <w:t>是指预算未全部执行或未执行，下年需按原用途继续使用的财政预算资金。</w:t>
      </w:r>
    </w:p>
    <w:p>
      <w:pPr>
        <w:snapToGrid w:val="0"/>
        <w:spacing w:line="580" w:lineRule="exact"/>
        <w:ind w:firstLine="643" w:firstLineChars="200"/>
        <w:rPr>
          <w:rFonts w:ascii="仿宋_GB2312" w:hAnsi="仿宋" w:eastAsia="仿宋_GB2312" w:cs="宋体"/>
          <w:kern w:val="0"/>
          <w:sz w:val="22"/>
        </w:rPr>
      </w:pPr>
      <w:r>
        <w:rPr>
          <w:rFonts w:ascii="仿宋_GB2312" w:hAnsi="仿宋" w:eastAsia="仿宋_GB2312"/>
          <w:b/>
          <w:sz w:val="32"/>
          <w:szCs w:val="32"/>
        </w:rPr>
        <w:t>8.</w:t>
      </w:r>
      <w:r>
        <w:rPr>
          <w:rFonts w:hint="eastAsia" w:ascii="仿宋_GB2312" w:hAnsi="仿宋" w:eastAsia="仿宋_GB2312"/>
          <w:b/>
          <w:sz w:val="32"/>
          <w:szCs w:val="32"/>
        </w:rPr>
        <w:t>结余资金：</w:t>
      </w:r>
      <w:r>
        <w:rPr>
          <w:rFonts w:hint="eastAsia" w:ascii="仿宋_GB2312" w:hAnsi="仿宋" w:eastAsia="仿宋_GB2312" w:cs="宋体"/>
          <w:kern w:val="0"/>
          <w:sz w:val="32"/>
          <w:szCs w:val="32"/>
        </w:rPr>
        <w:t>是指项目实施周期已结束、项目目标完成或项目提前终止，尚未列支的项目预算资金；因项目实施计划调整，不需继续支出的预算资金。</w:t>
      </w:r>
    </w:p>
    <w:p>
      <w:pPr>
        <w:snapToGrid w:val="0"/>
        <w:spacing w:line="580" w:lineRule="exact"/>
        <w:ind w:firstLine="643" w:firstLineChars="200"/>
        <w:rPr>
          <w:rFonts w:ascii="仿宋_GB2312" w:hAnsi="仿宋" w:eastAsia="仿宋_GB2312" w:cs="宋体"/>
          <w:kern w:val="0"/>
          <w:sz w:val="32"/>
          <w:szCs w:val="32"/>
        </w:rPr>
      </w:pPr>
      <w:r>
        <w:rPr>
          <w:rFonts w:ascii="仿宋_GB2312" w:hAnsi="仿宋" w:eastAsia="仿宋_GB2312"/>
          <w:b/>
          <w:sz w:val="32"/>
          <w:szCs w:val="32"/>
        </w:rPr>
        <w:t>9.</w:t>
      </w:r>
      <w:r>
        <w:rPr>
          <w:rFonts w:hint="eastAsia" w:ascii="仿宋_GB2312" w:hAnsi="仿宋" w:eastAsia="仿宋_GB2312"/>
          <w:b/>
          <w:sz w:val="32"/>
          <w:szCs w:val="32"/>
        </w:rPr>
        <w:t>盘活存量资金：</w:t>
      </w:r>
      <w:r>
        <w:rPr>
          <w:rFonts w:hint="eastAsia" w:ascii="仿宋_GB2312" w:hAnsi="仿宋" w:eastAsia="仿宋_GB2312" w:cs="宋体"/>
          <w:kern w:val="0"/>
          <w:sz w:val="32"/>
          <w:szCs w:val="32"/>
        </w:rPr>
        <w:t>按预算法规定连续两年未使用的结转资金和结余资金收回同级财政统筹使用。</w:t>
      </w:r>
    </w:p>
    <w:p>
      <w:pPr>
        <w:snapToGrid w:val="0"/>
        <w:spacing w:line="580" w:lineRule="exact"/>
        <w:ind w:firstLine="643" w:firstLineChars="200"/>
        <w:rPr>
          <w:rFonts w:ascii="仿宋_GB2312" w:hAnsi="仿宋" w:eastAsia="仿宋_GB2312" w:cs="宋体"/>
          <w:kern w:val="0"/>
          <w:sz w:val="32"/>
          <w:szCs w:val="32"/>
        </w:rPr>
      </w:pPr>
      <w:r>
        <w:rPr>
          <w:rFonts w:ascii="仿宋_GB2312" w:hAnsi="仿宋" w:eastAsia="仿宋_GB2312"/>
          <w:b/>
          <w:sz w:val="32"/>
          <w:szCs w:val="32"/>
        </w:rPr>
        <w:t>10.</w:t>
      </w:r>
      <w:r>
        <w:rPr>
          <w:rFonts w:hint="eastAsia" w:ascii="仿宋_GB2312" w:hAnsi="仿宋" w:eastAsia="仿宋_GB2312"/>
          <w:b/>
          <w:sz w:val="32"/>
          <w:szCs w:val="32"/>
        </w:rPr>
        <w:t>财政转移支付：</w:t>
      </w:r>
      <w:r>
        <w:rPr>
          <w:rFonts w:hint="eastAsia" w:ascii="仿宋_GB2312" w:hAnsi="仿宋" w:eastAsia="仿宋_GB2312" w:cs="宋体"/>
          <w:kern w:val="0"/>
          <w:sz w:val="32"/>
          <w:szCs w:val="32"/>
        </w:rPr>
        <w:t>是指各级政府之间所存的财政能力差异为基础，以实现各地公共服务水平的均等化为主旨，而实行的一种财政资金转移或财政平衡制度。</w:t>
      </w:r>
    </w:p>
    <w:p>
      <w:pPr>
        <w:snapToGrid w:val="0"/>
        <w:spacing w:line="580" w:lineRule="exact"/>
        <w:ind w:firstLine="643" w:firstLineChars="200"/>
        <w:rPr>
          <w:rFonts w:ascii="仿宋_GB2312" w:hAnsi="仿宋" w:eastAsia="仿宋_GB2312" w:cs="宋体"/>
          <w:kern w:val="0"/>
          <w:sz w:val="32"/>
          <w:szCs w:val="32"/>
        </w:rPr>
      </w:pPr>
      <w:r>
        <w:rPr>
          <w:rFonts w:ascii="仿宋_GB2312" w:hAnsi="仿宋" w:eastAsia="仿宋_GB2312"/>
          <w:b/>
          <w:sz w:val="32"/>
          <w:szCs w:val="32"/>
        </w:rPr>
        <w:t>11.</w:t>
      </w:r>
      <w:r>
        <w:rPr>
          <w:rFonts w:hint="eastAsia" w:ascii="仿宋_GB2312" w:hAnsi="仿宋" w:eastAsia="仿宋_GB2312"/>
          <w:b/>
          <w:sz w:val="32"/>
          <w:szCs w:val="32"/>
        </w:rPr>
        <w:t>一般转移支付：</w:t>
      </w:r>
      <w:r>
        <w:rPr>
          <w:rFonts w:hint="eastAsia" w:ascii="仿宋_GB2312" w:hAnsi="仿宋" w:eastAsia="仿宋_GB2312" w:cs="宋体"/>
          <w:kern w:val="0"/>
          <w:sz w:val="32"/>
          <w:szCs w:val="32"/>
        </w:rPr>
        <w:t>是指中央政府对有财力缺口的地方政府，按照规范的办法给予补助，地方政府可以按照相关规定统筹安排和使用。</w:t>
      </w:r>
    </w:p>
    <w:p>
      <w:pPr>
        <w:snapToGrid w:val="0"/>
        <w:spacing w:line="580" w:lineRule="exact"/>
        <w:ind w:firstLine="643" w:firstLineChars="200"/>
        <w:rPr>
          <w:rFonts w:ascii="仿宋_GB2312" w:hAnsi="仿宋" w:eastAsia="仿宋_GB2312" w:cs="宋体"/>
          <w:kern w:val="0"/>
          <w:sz w:val="32"/>
          <w:szCs w:val="32"/>
        </w:rPr>
      </w:pPr>
      <w:r>
        <w:rPr>
          <w:rFonts w:ascii="仿宋_GB2312" w:hAnsi="仿宋" w:eastAsia="仿宋_GB2312"/>
          <w:b/>
          <w:sz w:val="32"/>
          <w:szCs w:val="32"/>
        </w:rPr>
        <w:t>12.</w:t>
      </w:r>
      <w:r>
        <w:rPr>
          <w:rFonts w:hint="eastAsia" w:ascii="仿宋_GB2312" w:hAnsi="仿宋" w:eastAsia="仿宋_GB2312"/>
          <w:b/>
          <w:sz w:val="32"/>
          <w:szCs w:val="32"/>
        </w:rPr>
        <w:t>专项转移支付：</w:t>
      </w:r>
      <w:r>
        <w:rPr>
          <w:rFonts w:hint="eastAsia" w:ascii="仿宋_GB2312" w:hAnsi="仿宋" w:eastAsia="仿宋_GB2312" w:cs="宋体"/>
          <w:kern w:val="0"/>
          <w:sz w:val="32"/>
          <w:szCs w:val="32"/>
        </w:rPr>
        <w:t>是指中央财政为实现特定的宏观政策及事业发展战略目标，以及对委托地方政府代理的一些事务或中央地方共同承担事务进行补偿而设立的补助资金，需按规定的用途使用。</w:t>
      </w:r>
    </w:p>
    <w:p>
      <w:pPr>
        <w:snapToGrid w:val="0"/>
        <w:spacing w:line="580" w:lineRule="exact"/>
        <w:ind w:firstLine="643" w:firstLineChars="200"/>
        <w:rPr>
          <w:rFonts w:ascii="仿宋_GB2312" w:hAnsi="仿宋" w:eastAsia="仿宋_GB2312" w:cs="宋体"/>
          <w:kern w:val="0"/>
          <w:sz w:val="32"/>
          <w:szCs w:val="32"/>
        </w:rPr>
      </w:pPr>
      <w:r>
        <w:rPr>
          <w:rFonts w:ascii="仿宋_GB2312" w:hAnsi="仿宋" w:eastAsia="仿宋_GB2312"/>
          <w:b/>
          <w:sz w:val="32"/>
          <w:szCs w:val="32"/>
        </w:rPr>
        <w:t>13.</w:t>
      </w:r>
      <w:r>
        <w:rPr>
          <w:rFonts w:hint="eastAsia" w:ascii="仿宋_GB2312" w:hAnsi="仿宋" w:eastAsia="仿宋_GB2312"/>
          <w:b/>
          <w:sz w:val="32"/>
          <w:szCs w:val="32"/>
        </w:rPr>
        <w:t>部门预算：</w:t>
      </w:r>
      <w:r>
        <w:rPr>
          <w:rFonts w:hint="eastAsia" w:ascii="仿宋_GB2312" w:hAnsi="仿宋" w:eastAsia="仿宋_GB2312" w:cs="宋体"/>
          <w:kern w:val="0"/>
          <w:sz w:val="32"/>
          <w:szCs w:val="32"/>
        </w:rPr>
        <w:t>是指与财政部门直接发生预算缴款、拨款关系的国家机关、社会团体和其他单位，依据国家有关法律法规规定及其履行职能需要编制的本部门年度收支计划。</w:t>
      </w:r>
    </w:p>
    <w:p>
      <w:pPr>
        <w:snapToGrid w:val="0"/>
        <w:spacing w:line="580" w:lineRule="exact"/>
        <w:ind w:firstLine="643" w:firstLineChars="200"/>
        <w:rPr>
          <w:rFonts w:ascii="仿宋_GB2312" w:hAnsi="仿宋" w:eastAsia="仿宋_GB2312" w:cs="宋体"/>
          <w:kern w:val="0"/>
          <w:sz w:val="32"/>
          <w:szCs w:val="32"/>
        </w:rPr>
      </w:pPr>
      <w:r>
        <w:rPr>
          <w:rFonts w:ascii="仿宋_GB2312" w:hAnsi="仿宋" w:eastAsia="仿宋_GB2312"/>
          <w:b/>
          <w:sz w:val="32"/>
          <w:szCs w:val="32"/>
        </w:rPr>
        <w:t>14.</w:t>
      </w:r>
      <w:r>
        <w:rPr>
          <w:rFonts w:hint="eastAsia" w:ascii="仿宋_GB2312" w:hAnsi="仿宋" w:eastAsia="仿宋_GB2312"/>
          <w:b/>
          <w:sz w:val="32"/>
          <w:szCs w:val="32"/>
        </w:rPr>
        <w:t>项目预算：</w:t>
      </w:r>
      <w:r>
        <w:rPr>
          <w:rFonts w:hint="eastAsia" w:ascii="仿宋_GB2312" w:hAnsi="仿宋" w:eastAsia="仿宋_GB2312" w:cs="宋体"/>
          <w:kern w:val="0"/>
          <w:sz w:val="32"/>
          <w:szCs w:val="32"/>
        </w:rPr>
        <w:t>是指预算单位为完成其特定的工作任务或事业发展目标，在基本支出之外编制的年度项目支出计划，是部门预算的重要组成部分。单位专项公用经费和发展性支出都需要落实到具体项目并编制项目预算。</w:t>
      </w:r>
    </w:p>
    <w:p>
      <w:pPr>
        <w:spacing w:line="580" w:lineRule="exact"/>
        <w:ind w:firstLine="643" w:firstLineChars="200"/>
        <w:rPr>
          <w:rFonts w:ascii="仿宋_GB2312" w:hAnsi="仿宋" w:eastAsia="仿宋_GB2312"/>
          <w:sz w:val="32"/>
          <w:szCs w:val="32"/>
        </w:rPr>
      </w:pPr>
      <w:r>
        <w:rPr>
          <w:rFonts w:ascii="仿宋_GB2312" w:hAnsi="仿宋" w:eastAsia="仿宋_GB2312"/>
          <w:b/>
          <w:sz w:val="32"/>
          <w:szCs w:val="32"/>
        </w:rPr>
        <w:t>15.</w:t>
      </w:r>
      <w:r>
        <w:rPr>
          <w:rFonts w:hint="eastAsia" w:ascii="仿宋_GB2312" w:hAnsi="仿宋" w:eastAsia="仿宋_GB2312"/>
          <w:b/>
          <w:sz w:val="32"/>
          <w:szCs w:val="32"/>
        </w:rPr>
        <w:t>政府采购：</w:t>
      </w:r>
      <w:r>
        <w:rPr>
          <w:rFonts w:hint="eastAsia" w:ascii="仿宋_GB2312" w:hAnsi="仿宋" w:eastAsia="仿宋_GB2312"/>
          <w:sz w:val="32"/>
          <w:szCs w:val="32"/>
        </w:rPr>
        <w:t>是指各级国家机关、事业单位和团体组织，使用财政性资金（纳入预算管理的资金、以财政性资金作为还款来源的借贷资金视同财政性资金、财政性资金与非财政性资金无法分割采购的，统一适用政府采购法）采购依法制定的集中采购目录以内的或者采购限额标准以上的货物、工程和服务的行为。（村集体经济组织不是政府采购人）</w:t>
      </w:r>
    </w:p>
    <w:p>
      <w:pPr>
        <w:snapToGrid w:val="0"/>
        <w:spacing w:line="580" w:lineRule="exact"/>
        <w:ind w:firstLine="643" w:firstLineChars="200"/>
        <w:rPr>
          <w:rFonts w:ascii="仿宋_GB2312" w:hAnsi="仿宋" w:eastAsia="仿宋_GB2312" w:cs="宋体"/>
          <w:kern w:val="0"/>
          <w:sz w:val="32"/>
          <w:szCs w:val="32"/>
        </w:rPr>
      </w:pPr>
      <w:r>
        <w:rPr>
          <w:rFonts w:ascii="仿宋_GB2312" w:hAnsi="仿宋" w:eastAsia="仿宋_GB2312"/>
          <w:b/>
          <w:sz w:val="32"/>
          <w:szCs w:val="32"/>
        </w:rPr>
        <w:t>16.</w:t>
      </w:r>
      <w:r>
        <w:rPr>
          <w:rFonts w:hint="eastAsia" w:ascii="仿宋_GB2312" w:hAnsi="仿宋" w:eastAsia="仿宋_GB2312"/>
          <w:b/>
          <w:sz w:val="32"/>
          <w:szCs w:val="32"/>
        </w:rPr>
        <w:t>财政投资评审：</w:t>
      </w:r>
      <w:r>
        <w:rPr>
          <w:rFonts w:hint="eastAsia" w:ascii="仿宋_GB2312" w:hAnsi="仿宋" w:eastAsia="仿宋_GB2312" w:cs="宋体"/>
          <w:kern w:val="0"/>
          <w:sz w:val="32"/>
          <w:szCs w:val="32"/>
        </w:rPr>
        <w:t>财政部门对财政投资（上级专项资金在</w:t>
      </w:r>
      <w:r>
        <w:rPr>
          <w:rFonts w:ascii="仿宋_GB2312" w:hAnsi="仿宋" w:eastAsia="仿宋_GB2312" w:cs="宋体"/>
          <w:kern w:val="0"/>
          <w:sz w:val="32"/>
          <w:szCs w:val="32"/>
        </w:rPr>
        <w:t>100</w:t>
      </w:r>
      <w:r>
        <w:rPr>
          <w:rFonts w:hint="eastAsia" w:ascii="仿宋_GB2312" w:hAnsi="仿宋" w:eastAsia="仿宋_GB2312" w:cs="宋体"/>
          <w:kern w:val="0"/>
          <w:sz w:val="32"/>
          <w:szCs w:val="32"/>
        </w:rPr>
        <w:t>万元以上，本级专项资金在</w:t>
      </w:r>
      <w:r>
        <w:rPr>
          <w:rFonts w:ascii="仿宋_GB2312" w:hAnsi="仿宋" w:eastAsia="仿宋_GB2312" w:cs="宋体"/>
          <w:kern w:val="0"/>
          <w:sz w:val="32"/>
          <w:szCs w:val="32"/>
        </w:rPr>
        <w:t>20</w:t>
      </w:r>
      <w:r>
        <w:rPr>
          <w:rFonts w:hint="eastAsia" w:ascii="仿宋_GB2312" w:hAnsi="仿宋" w:eastAsia="仿宋_GB2312" w:cs="宋体"/>
          <w:kern w:val="0"/>
          <w:sz w:val="32"/>
          <w:szCs w:val="32"/>
        </w:rPr>
        <w:t>万元以上的建设项目及</w:t>
      </w:r>
      <w:r>
        <w:rPr>
          <w:rFonts w:ascii="仿宋_GB2312" w:hAnsi="仿宋" w:eastAsia="仿宋_GB2312" w:cs="宋体"/>
          <w:kern w:val="0"/>
          <w:sz w:val="32"/>
          <w:szCs w:val="32"/>
        </w:rPr>
        <w:t>10</w:t>
      </w:r>
      <w:r>
        <w:rPr>
          <w:rFonts w:hint="eastAsia" w:ascii="仿宋_GB2312" w:hAnsi="仿宋" w:eastAsia="仿宋_GB2312" w:cs="宋体"/>
          <w:kern w:val="0"/>
          <w:sz w:val="32"/>
          <w:szCs w:val="32"/>
        </w:rPr>
        <w:t>万元以上的修缮项目，并且符合政府投资占比</w:t>
      </w:r>
      <w:r>
        <w:rPr>
          <w:rFonts w:ascii="仿宋_GB2312" w:hAnsi="仿宋" w:eastAsia="仿宋_GB2312" w:cs="宋体"/>
          <w:kern w:val="0"/>
          <w:sz w:val="32"/>
          <w:szCs w:val="32"/>
        </w:rPr>
        <w:t>40%</w:t>
      </w:r>
      <w:r>
        <w:rPr>
          <w:rFonts w:hint="eastAsia" w:ascii="仿宋_GB2312" w:hAnsi="仿宋" w:eastAsia="仿宋_GB2312" w:cs="宋体"/>
          <w:kern w:val="0"/>
          <w:sz w:val="32"/>
          <w:szCs w:val="32"/>
        </w:rPr>
        <w:t>以上）的建设项目预（概）算、投资变更的预算进行评价与审查，以加强财政支出管理、提高财政资金有效性的财政监督行为。</w:t>
      </w:r>
    </w:p>
    <w:p>
      <w:pPr>
        <w:pStyle w:val="3"/>
        <w:spacing w:after="0" w:line="580" w:lineRule="exact"/>
        <w:ind w:firstLine="643" w:firstLineChars="200"/>
        <w:rPr>
          <w:rFonts w:ascii="仿宋_GB2312" w:eastAsia="仿宋_GB2312"/>
        </w:rPr>
      </w:pPr>
      <w:r>
        <w:rPr>
          <w:rFonts w:ascii="仿宋_GB2312" w:hAnsi="仿宋" w:eastAsia="仿宋_GB2312" w:cs="宋体"/>
          <w:b/>
          <w:bCs/>
          <w:kern w:val="0"/>
          <w:sz w:val="32"/>
          <w:szCs w:val="32"/>
        </w:rPr>
        <w:t>17</w:t>
      </w:r>
      <w:r>
        <w:rPr>
          <w:rFonts w:hint="eastAsia" w:ascii="仿宋_GB2312" w:hAnsi="仿宋" w:eastAsia="仿宋_GB2312" w:cs="宋体"/>
          <w:b/>
          <w:bCs/>
          <w:kern w:val="0"/>
          <w:sz w:val="32"/>
          <w:szCs w:val="32"/>
        </w:rPr>
        <w:t>、可比口径：</w:t>
      </w:r>
      <w:r>
        <w:rPr>
          <w:rFonts w:hint="eastAsia" w:ascii="仿宋_GB2312" w:hAnsi="仿宋" w:eastAsia="仿宋_GB2312" w:cs="宋体"/>
          <w:kern w:val="0"/>
          <w:sz w:val="32"/>
          <w:szCs w:val="32"/>
        </w:rPr>
        <w:t>是指还原留底退税收入形成的县级一般公共预算收入。</w:t>
      </w:r>
    </w:p>
    <w:p>
      <w:pPr>
        <w:spacing w:line="580" w:lineRule="exact"/>
        <w:ind w:firstLine="643" w:firstLineChars="200"/>
        <w:rPr>
          <w:rFonts w:ascii="仿宋_GB2312" w:hAnsi="仿宋" w:eastAsia="仿宋_GB2312" w:cs="宋体"/>
          <w:kern w:val="0"/>
          <w:sz w:val="32"/>
          <w:szCs w:val="32"/>
        </w:rPr>
      </w:pPr>
      <w:r>
        <w:rPr>
          <w:rFonts w:ascii="仿宋_GB2312" w:hAnsi="仿宋" w:eastAsia="仿宋_GB2312" w:cs="宋体"/>
          <w:b/>
          <w:bCs/>
          <w:kern w:val="0"/>
          <w:sz w:val="32"/>
          <w:szCs w:val="32"/>
        </w:rPr>
        <w:t>18</w:t>
      </w:r>
      <w:r>
        <w:rPr>
          <w:rFonts w:hint="eastAsia" w:ascii="仿宋_GB2312" w:hAnsi="仿宋" w:eastAsia="仿宋_GB2312" w:cs="宋体"/>
          <w:b/>
          <w:bCs/>
          <w:kern w:val="0"/>
          <w:sz w:val="32"/>
          <w:szCs w:val="32"/>
        </w:rPr>
        <w:t>、自然口径：</w:t>
      </w:r>
      <w:r>
        <w:rPr>
          <w:rFonts w:hint="eastAsia" w:ascii="仿宋_GB2312" w:hAnsi="仿宋" w:eastAsia="仿宋_GB2312" w:cs="宋体"/>
          <w:kern w:val="0"/>
          <w:sz w:val="32"/>
          <w:szCs w:val="32"/>
        </w:rPr>
        <w:t>扣除留抵退税后实际形成的县级一般公共预算收入。</w:t>
      </w:r>
    </w:p>
    <w:p>
      <w:pPr>
        <w:widowControl/>
        <w:spacing w:line="400" w:lineRule="exact"/>
        <w:jc w:val="left"/>
        <w:textAlignment w:val="center"/>
        <w:rPr>
          <w:rFonts w:ascii="宋体" w:cs="宋体"/>
          <w:color w:val="000000"/>
          <w:kern w:val="0"/>
          <w:sz w:val="20"/>
          <w:szCs w:val="20"/>
        </w:rPr>
      </w:pPr>
    </w:p>
    <w:p>
      <w:pPr>
        <w:pStyle w:val="7"/>
      </w:pPr>
    </w:p>
    <w:p/>
    <w:p>
      <w:pPr>
        <w:pStyle w:val="7"/>
        <w:jc w:val="both"/>
      </w:pPr>
      <w:r>
        <w:rPr>
          <w:rFonts w:hint="eastAsia" w:ascii="仿宋_GB2312" w:hAnsi="宋体" w:eastAsia="仿宋_GB2312" w:cs="仿宋_GB2312"/>
          <w:color w:val="000000"/>
          <w:szCs w:val="21"/>
        </w:rPr>
        <w:t>附表</w:t>
      </w:r>
      <w:r>
        <w:rPr>
          <w:rFonts w:ascii="仿宋_GB2312" w:hAnsi="宋体" w:eastAsia="仿宋_GB2312" w:cs="仿宋_GB2312"/>
          <w:color w:val="000000"/>
          <w:szCs w:val="21"/>
        </w:rPr>
        <w:t>1-1</w:t>
      </w:r>
    </w:p>
    <w:p>
      <w:pPr>
        <w:jc w:val="center"/>
      </w:pPr>
      <w:r>
        <w:rPr>
          <w:rFonts w:ascii="黑体" w:hAnsi="宋体" w:eastAsia="黑体" w:cs="黑体"/>
          <w:b/>
          <w:bCs/>
          <w:color w:val="000000"/>
          <w:kern w:val="0"/>
          <w:sz w:val="32"/>
          <w:szCs w:val="32"/>
        </w:rPr>
        <w:t>202</w:t>
      </w:r>
      <w:r>
        <w:rPr>
          <w:rFonts w:hint="eastAsia" w:ascii="黑体" w:hAnsi="宋体" w:eastAsia="黑体" w:cs="黑体"/>
          <w:b/>
          <w:bCs/>
          <w:color w:val="000000"/>
          <w:kern w:val="0"/>
          <w:sz w:val="32"/>
          <w:szCs w:val="32"/>
          <w:lang w:val="en-US" w:eastAsia="zh-CN"/>
        </w:rPr>
        <w:t>4</w:t>
      </w:r>
      <w:r>
        <w:rPr>
          <w:rFonts w:hint="eastAsia" w:ascii="黑体" w:hAnsi="宋体" w:eastAsia="黑体" w:cs="黑体"/>
          <w:b/>
          <w:bCs/>
          <w:color w:val="000000"/>
          <w:kern w:val="0"/>
          <w:sz w:val="32"/>
          <w:szCs w:val="32"/>
        </w:rPr>
        <w:t>年全部收入和一般公共收入预算完成情况表</w:t>
      </w:r>
    </w:p>
    <w:p>
      <w:r>
        <w:rPr>
          <w:rStyle w:val="17"/>
          <w:rFonts w:hint="eastAsia"/>
        </w:rPr>
        <w:t>单位：万元</w:t>
      </w:r>
    </w:p>
    <w:tbl>
      <w:tblPr>
        <w:tblStyle w:val="8"/>
        <w:tblW w:w="9176" w:type="dxa"/>
        <w:jc w:val="center"/>
        <w:tblLayout w:type="fixed"/>
        <w:tblCellMar>
          <w:top w:w="0" w:type="dxa"/>
          <w:left w:w="108" w:type="dxa"/>
          <w:bottom w:w="0" w:type="dxa"/>
          <w:right w:w="108" w:type="dxa"/>
        </w:tblCellMar>
      </w:tblPr>
      <w:tblGrid>
        <w:gridCol w:w="2970"/>
        <w:gridCol w:w="1376"/>
        <w:gridCol w:w="1545"/>
        <w:gridCol w:w="1575"/>
        <w:gridCol w:w="1710"/>
      </w:tblGrid>
      <w:tr>
        <w:tblPrEx>
          <w:tblCellMar>
            <w:top w:w="0" w:type="dxa"/>
            <w:left w:w="108" w:type="dxa"/>
            <w:bottom w:w="0" w:type="dxa"/>
            <w:right w:w="108" w:type="dxa"/>
          </w:tblCellMar>
        </w:tblPrEx>
        <w:trPr>
          <w:trHeight w:val="474" w:hRule="atLeast"/>
          <w:jc w:val="center"/>
        </w:trPr>
        <w:tc>
          <w:tcPr>
            <w:tcW w:w="297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预</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算</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科</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目</w:t>
            </w:r>
          </w:p>
        </w:tc>
        <w:tc>
          <w:tcPr>
            <w:tcW w:w="13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调整预算数</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实际完成数</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占调整预算</w:t>
            </w:r>
            <w:r>
              <w:rPr>
                <w:rFonts w:ascii="宋体" w:hAnsi="宋体" w:cs="宋体"/>
                <w:b/>
                <w:bCs/>
                <w:color w:val="000000"/>
                <w:kern w:val="0"/>
                <w:sz w:val="20"/>
                <w:szCs w:val="20"/>
              </w:rPr>
              <w:t>(%)</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2"/>
                <w:szCs w:val="22"/>
              </w:rPr>
            </w:pPr>
            <w:r>
              <w:rPr>
                <w:rFonts w:hint="eastAsia" w:ascii="宋体" w:hAnsi="宋体" w:cs="宋体"/>
                <w:b/>
                <w:bCs/>
                <w:color w:val="000000"/>
                <w:kern w:val="0"/>
                <w:sz w:val="22"/>
                <w:szCs w:val="22"/>
              </w:rPr>
              <w:t>其中县本级</w:t>
            </w:r>
            <w:r>
              <w:rPr>
                <w:rFonts w:ascii="宋体" w:cs="宋体"/>
                <w:b/>
                <w:bCs/>
                <w:color w:val="000000"/>
                <w:kern w:val="0"/>
                <w:sz w:val="22"/>
                <w:szCs w:val="22"/>
              </w:rPr>
              <w:br w:type="textWrapping"/>
            </w:r>
            <w:r>
              <w:rPr>
                <w:rFonts w:hint="eastAsia" w:ascii="宋体" w:hAnsi="宋体" w:cs="宋体"/>
                <w:b/>
                <w:bCs/>
                <w:color w:val="000000"/>
                <w:kern w:val="0"/>
                <w:sz w:val="22"/>
                <w:szCs w:val="22"/>
              </w:rPr>
              <w:t>完成数</w:t>
            </w:r>
          </w:p>
        </w:tc>
      </w:tr>
      <w:tr>
        <w:tblPrEx>
          <w:tblCellMar>
            <w:top w:w="0" w:type="dxa"/>
            <w:left w:w="108" w:type="dxa"/>
            <w:bottom w:w="0" w:type="dxa"/>
            <w:right w:w="108" w:type="dxa"/>
          </w:tblCellMar>
        </w:tblPrEx>
        <w:trPr>
          <w:trHeight w:val="439" w:hRule="atLeast"/>
          <w:jc w:val="center"/>
        </w:trPr>
        <w:tc>
          <w:tcPr>
            <w:tcW w:w="2970"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cs="宋体"/>
                <w:b/>
                <w:bCs/>
                <w:color w:val="000000"/>
                <w:sz w:val="20"/>
                <w:szCs w:val="20"/>
              </w:rPr>
            </w:pPr>
            <w:r>
              <w:rPr>
                <w:rFonts w:hint="eastAsia" w:ascii="宋体" w:hAnsi="宋体" w:cs="宋体"/>
                <w:b/>
                <w:bCs/>
                <w:color w:val="000000"/>
                <w:kern w:val="0"/>
                <w:sz w:val="20"/>
                <w:szCs w:val="20"/>
              </w:rPr>
              <w:t>全部财政收入</w:t>
            </w:r>
          </w:p>
        </w:tc>
        <w:tc>
          <w:tcPr>
            <w:tcW w:w="13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273231</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269930</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98.79 </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eastAsia="宋体" w:cs="宋体"/>
                <w:color w:val="000000"/>
                <w:sz w:val="20"/>
                <w:szCs w:val="20"/>
                <w:lang w:val="en-US" w:eastAsia="zh-CN"/>
              </w:rPr>
            </w:pPr>
            <w:r>
              <w:rPr>
                <w:rFonts w:hint="eastAsia" w:ascii="宋体" w:cs="宋体"/>
                <w:color w:val="000000"/>
                <w:sz w:val="20"/>
                <w:szCs w:val="20"/>
                <w:lang w:val="en-US" w:eastAsia="zh-CN"/>
              </w:rPr>
              <w:t>177328</w:t>
            </w:r>
          </w:p>
        </w:tc>
      </w:tr>
      <w:tr>
        <w:tblPrEx>
          <w:tblCellMar>
            <w:top w:w="0" w:type="dxa"/>
            <w:left w:w="108" w:type="dxa"/>
            <w:bottom w:w="0" w:type="dxa"/>
            <w:right w:w="108" w:type="dxa"/>
          </w:tblCellMar>
        </w:tblPrEx>
        <w:trPr>
          <w:trHeight w:val="439" w:hRule="atLeast"/>
          <w:jc w:val="center"/>
        </w:trPr>
        <w:tc>
          <w:tcPr>
            <w:tcW w:w="2970"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cs="宋体"/>
                <w:b/>
                <w:bCs/>
                <w:color w:val="000000"/>
                <w:sz w:val="20"/>
                <w:szCs w:val="20"/>
              </w:rPr>
            </w:pPr>
            <w:r>
              <w:rPr>
                <w:rFonts w:hint="eastAsia" w:ascii="宋体" w:hAnsi="宋体" w:cs="宋体"/>
                <w:b/>
                <w:bCs/>
                <w:color w:val="000000"/>
                <w:kern w:val="0"/>
                <w:sz w:val="20"/>
                <w:szCs w:val="20"/>
              </w:rPr>
              <w:t>县级一般公共预算收入</w:t>
            </w:r>
          </w:p>
        </w:tc>
        <w:tc>
          <w:tcPr>
            <w:tcW w:w="13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123515</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123825</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100.25 </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eastAsia="宋体" w:cs="宋体"/>
                <w:color w:val="000000"/>
                <w:sz w:val="20"/>
                <w:szCs w:val="20"/>
                <w:lang w:val="en-US" w:eastAsia="zh-CN"/>
              </w:rPr>
            </w:pPr>
            <w:r>
              <w:rPr>
                <w:rFonts w:hint="eastAsia" w:ascii="宋体" w:cs="宋体"/>
                <w:color w:val="000000"/>
                <w:sz w:val="20"/>
                <w:szCs w:val="20"/>
                <w:lang w:val="en-US" w:eastAsia="zh-CN"/>
              </w:rPr>
              <w:t>81571</w:t>
            </w:r>
          </w:p>
        </w:tc>
      </w:tr>
      <w:tr>
        <w:tblPrEx>
          <w:tblCellMar>
            <w:top w:w="0" w:type="dxa"/>
            <w:left w:w="108" w:type="dxa"/>
            <w:bottom w:w="0" w:type="dxa"/>
            <w:right w:w="108" w:type="dxa"/>
          </w:tblCellMar>
        </w:tblPrEx>
        <w:trPr>
          <w:trHeight w:val="439" w:hRule="atLeast"/>
          <w:jc w:val="center"/>
        </w:trPr>
        <w:tc>
          <w:tcPr>
            <w:tcW w:w="2970"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cs="宋体"/>
                <w:b/>
                <w:bCs/>
                <w:color w:val="000000"/>
                <w:sz w:val="20"/>
                <w:szCs w:val="20"/>
              </w:rPr>
            </w:pPr>
            <w:r>
              <w:rPr>
                <w:rFonts w:hint="eastAsia" w:ascii="宋体" w:hAnsi="宋体" w:cs="宋体"/>
                <w:b/>
                <w:bCs/>
                <w:color w:val="000000"/>
                <w:kern w:val="0"/>
                <w:sz w:val="20"/>
                <w:szCs w:val="20"/>
              </w:rPr>
              <w:t>（一）税收收入</w:t>
            </w:r>
          </w:p>
        </w:tc>
        <w:tc>
          <w:tcPr>
            <w:tcW w:w="13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96104</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95973</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99.86 </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eastAsia="宋体" w:cs="宋体"/>
                <w:color w:val="000000"/>
                <w:sz w:val="20"/>
                <w:szCs w:val="20"/>
                <w:lang w:val="en-US" w:eastAsia="zh-CN"/>
              </w:rPr>
            </w:pPr>
            <w:r>
              <w:rPr>
                <w:rFonts w:hint="eastAsia" w:ascii="宋体" w:cs="宋体"/>
                <w:color w:val="000000"/>
                <w:sz w:val="20"/>
                <w:szCs w:val="20"/>
                <w:lang w:val="en-US" w:eastAsia="zh-CN"/>
              </w:rPr>
              <w:t>53719</w:t>
            </w:r>
          </w:p>
        </w:tc>
      </w:tr>
      <w:tr>
        <w:tblPrEx>
          <w:tblCellMar>
            <w:top w:w="0" w:type="dxa"/>
            <w:left w:w="108" w:type="dxa"/>
            <w:bottom w:w="0" w:type="dxa"/>
            <w:right w:w="108" w:type="dxa"/>
          </w:tblCellMar>
        </w:tblPrEx>
        <w:trPr>
          <w:trHeight w:val="439" w:hRule="atLeast"/>
          <w:jc w:val="center"/>
        </w:trPr>
        <w:tc>
          <w:tcPr>
            <w:tcW w:w="2970"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cs="宋体"/>
                <w:b/>
                <w:bCs/>
                <w:color w:val="000000"/>
                <w:sz w:val="20"/>
                <w:szCs w:val="20"/>
              </w:rPr>
            </w:pPr>
            <w:r>
              <w:rPr>
                <w:rFonts w:hint="eastAsia" w:ascii="宋体" w:hAnsi="宋体" w:cs="宋体"/>
                <w:b/>
                <w:bCs/>
                <w:color w:val="000000"/>
                <w:kern w:val="0"/>
                <w:sz w:val="20"/>
                <w:szCs w:val="20"/>
              </w:rPr>
              <w:t>增值税</w:t>
            </w:r>
          </w:p>
        </w:tc>
        <w:tc>
          <w:tcPr>
            <w:tcW w:w="13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34065</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34064</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100.00 </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eastAsia="宋体" w:cs="宋体"/>
                <w:color w:val="000000"/>
                <w:sz w:val="20"/>
                <w:szCs w:val="20"/>
                <w:lang w:val="en-US" w:eastAsia="zh-CN"/>
              </w:rPr>
            </w:pPr>
            <w:r>
              <w:rPr>
                <w:rFonts w:hint="eastAsia" w:ascii="宋体" w:cs="宋体"/>
                <w:color w:val="000000"/>
                <w:sz w:val="20"/>
                <w:szCs w:val="20"/>
                <w:lang w:val="en-US" w:eastAsia="zh-CN"/>
              </w:rPr>
              <w:t>26536</w:t>
            </w:r>
          </w:p>
        </w:tc>
      </w:tr>
      <w:tr>
        <w:tblPrEx>
          <w:tblCellMar>
            <w:top w:w="0" w:type="dxa"/>
            <w:left w:w="108" w:type="dxa"/>
            <w:bottom w:w="0" w:type="dxa"/>
            <w:right w:w="108" w:type="dxa"/>
          </w:tblCellMar>
        </w:tblPrEx>
        <w:trPr>
          <w:trHeight w:val="439" w:hRule="atLeast"/>
          <w:jc w:val="center"/>
        </w:trPr>
        <w:tc>
          <w:tcPr>
            <w:tcW w:w="2970"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cs="宋体"/>
                <w:b/>
                <w:bCs/>
                <w:color w:val="000000"/>
                <w:sz w:val="20"/>
                <w:szCs w:val="20"/>
              </w:rPr>
            </w:pPr>
            <w:r>
              <w:rPr>
                <w:rFonts w:hint="eastAsia" w:ascii="宋体" w:hAnsi="宋体" w:cs="宋体"/>
                <w:b/>
                <w:bCs/>
                <w:color w:val="000000"/>
                <w:kern w:val="0"/>
                <w:sz w:val="20"/>
                <w:szCs w:val="20"/>
              </w:rPr>
              <w:t>企业所得税</w:t>
            </w:r>
          </w:p>
        </w:tc>
        <w:tc>
          <w:tcPr>
            <w:tcW w:w="13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13728</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13738</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100.07 </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eastAsia="宋体" w:cs="宋体"/>
                <w:color w:val="000000"/>
                <w:sz w:val="20"/>
                <w:szCs w:val="20"/>
                <w:lang w:val="en-US" w:eastAsia="zh-CN"/>
              </w:rPr>
            </w:pPr>
            <w:r>
              <w:rPr>
                <w:rFonts w:hint="eastAsia" w:ascii="宋体" w:cs="宋体"/>
                <w:color w:val="000000"/>
                <w:sz w:val="20"/>
                <w:szCs w:val="20"/>
                <w:lang w:val="en-US" w:eastAsia="zh-CN"/>
              </w:rPr>
              <w:t>12155</w:t>
            </w:r>
          </w:p>
        </w:tc>
      </w:tr>
      <w:tr>
        <w:tblPrEx>
          <w:tblCellMar>
            <w:top w:w="0" w:type="dxa"/>
            <w:left w:w="108" w:type="dxa"/>
            <w:bottom w:w="0" w:type="dxa"/>
            <w:right w:w="108" w:type="dxa"/>
          </w:tblCellMar>
        </w:tblPrEx>
        <w:trPr>
          <w:trHeight w:val="439" w:hRule="atLeast"/>
          <w:jc w:val="center"/>
        </w:trPr>
        <w:tc>
          <w:tcPr>
            <w:tcW w:w="2970"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cs="宋体"/>
                <w:b/>
                <w:bCs/>
                <w:color w:val="000000"/>
                <w:sz w:val="20"/>
                <w:szCs w:val="20"/>
              </w:rPr>
            </w:pPr>
            <w:r>
              <w:rPr>
                <w:rFonts w:hint="eastAsia" w:ascii="宋体" w:hAnsi="宋体" w:cs="宋体"/>
                <w:b/>
                <w:bCs/>
                <w:color w:val="000000"/>
                <w:kern w:val="0"/>
                <w:sz w:val="20"/>
                <w:szCs w:val="20"/>
              </w:rPr>
              <w:t>个人所得税</w:t>
            </w:r>
          </w:p>
        </w:tc>
        <w:tc>
          <w:tcPr>
            <w:tcW w:w="13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5504</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5541</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100.67 </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eastAsia="宋体" w:cs="宋体"/>
                <w:color w:val="000000"/>
                <w:sz w:val="20"/>
                <w:szCs w:val="20"/>
                <w:lang w:val="en-US" w:eastAsia="zh-CN"/>
              </w:rPr>
            </w:pPr>
            <w:r>
              <w:rPr>
                <w:rFonts w:hint="eastAsia" w:ascii="宋体" w:cs="宋体"/>
                <w:color w:val="000000"/>
                <w:sz w:val="20"/>
                <w:szCs w:val="20"/>
                <w:lang w:val="en-US" w:eastAsia="zh-CN"/>
              </w:rPr>
              <w:t>4767</w:t>
            </w:r>
          </w:p>
        </w:tc>
      </w:tr>
      <w:tr>
        <w:tblPrEx>
          <w:tblCellMar>
            <w:top w:w="0" w:type="dxa"/>
            <w:left w:w="108" w:type="dxa"/>
            <w:bottom w:w="0" w:type="dxa"/>
            <w:right w:w="108" w:type="dxa"/>
          </w:tblCellMar>
        </w:tblPrEx>
        <w:trPr>
          <w:trHeight w:val="439" w:hRule="atLeast"/>
          <w:jc w:val="center"/>
        </w:trPr>
        <w:tc>
          <w:tcPr>
            <w:tcW w:w="2970"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cs="宋体"/>
                <w:b/>
                <w:bCs/>
                <w:color w:val="000000"/>
                <w:sz w:val="20"/>
                <w:szCs w:val="20"/>
              </w:rPr>
            </w:pPr>
            <w:r>
              <w:rPr>
                <w:rFonts w:hint="eastAsia" w:ascii="宋体" w:hAnsi="宋体" w:cs="宋体"/>
                <w:b/>
                <w:bCs/>
                <w:color w:val="000000"/>
                <w:kern w:val="0"/>
                <w:sz w:val="20"/>
                <w:szCs w:val="20"/>
              </w:rPr>
              <w:t>资源税</w:t>
            </w:r>
          </w:p>
        </w:tc>
        <w:tc>
          <w:tcPr>
            <w:tcW w:w="13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7199</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7199</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100.00 </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eastAsia="宋体" w:cs="宋体"/>
                <w:color w:val="000000"/>
                <w:sz w:val="20"/>
                <w:szCs w:val="20"/>
                <w:lang w:val="en-US" w:eastAsia="zh-CN"/>
              </w:rPr>
            </w:pPr>
            <w:r>
              <w:rPr>
                <w:rFonts w:hint="eastAsia" w:ascii="宋体" w:cs="宋体"/>
                <w:color w:val="000000"/>
                <w:sz w:val="20"/>
                <w:szCs w:val="20"/>
                <w:lang w:val="en-US" w:eastAsia="zh-CN"/>
              </w:rPr>
              <w:t>4522</w:t>
            </w:r>
          </w:p>
        </w:tc>
      </w:tr>
      <w:tr>
        <w:tblPrEx>
          <w:tblCellMar>
            <w:top w:w="0" w:type="dxa"/>
            <w:left w:w="108" w:type="dxa"/>
            <w:bottom w:w="0" w:type="dxa"/>
            <w:right w:w="108" w:type="dxa"/>
          </w:tblCellMar>
        </w:tblPrEx>
        <w:trPr>
          <w:trHeight w:val="439" w:hRule="atLeast"/>
          <w:jc w:val="center"/>
        </w:trPr>
        <w:tc>
          <w:tcPr>
            <w:tcW w:w="2970"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cs="宋体"/>
                <w:b/>
                <w:bCs/>
                <w:color w:val="000000"/>
                <w:sz w:val="20"/>
                <w:szCs w:val="20"/>
              </w:rPr>
            </w:pPr>
            <w:r>
              <w:rPr>
                <w:rFonts w:hint="eastAsia" w:ascii="宋体" w:hAnsi="宋体" w:cs="宋体"/>
                <w:b/>
                <w:bCs/>
                <w:color w:val="000000"/>
                <w:kern w:val="0"/>
                <w:sz w:val="20"/>
                <w:szCs w:val="20"/>
              </w:rPr>
              <w:t>城建税</w:t>
            </w:r>
          </w:p>
        </w:tc>
        <w:tc>
          <w:tcPr>
            <w:tcW w:w="13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2"/>
                <w:szCs w:val="22"/>
                <w:u w:val="none"/>
                <w:lang w:val="en-US" w:eastAsia="zh-CN" w:bidi="ar"/>
              </w:rPr>
              <w:t>3842</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3863</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100.55 </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eastAsia="宋体" w:cs="宋体"/>
                <w:color w:val="000000"/>
                <w:sz w:val="20"/>
                <w:szCs w:val="20"/>
                <w:lang w:val="en-US" w:eastAsia="zh-CN"/>
              </w:rPr>
            </w:pPr>
            <w:r>
              <w:rPr>
                <w:rFonts w:hint="eastAsia" w:ascii="宋体" w:cs="宋体"/>
                <w:color w:val="000000"/>
                <w:sz w:val="20"/>
                <w:szCs w:val="20"/>
                <w:lang w:val="en-US" w:eastAsia="zh-CN"/>
              </w:rPr>
              <w:t>3156</w:t>
            </w:r>
          </w:p>
        </w:tc>
      </w:tr>
      <w:tr>
        <w:tblPrEx>
          <w:tblCellMar>
            <w:top w:w="0" w:type="dxa"/>
            <w:left w:w="108" w:type="dxa"/>
            <w:bottom w:w="0" w:type="dxa"/>
            <w:right w:w="108" w:type="dxa"/>
          </w:tblCellMar>
        </w:tblPrEx>
        <w:trPr>
          <w:trHeight w:val="439" w:hRule="atLeast"/>
          <w:jc w:val="center"/>
        </w:trPr>
        <w:tc>
          <w:tcPr>
            <w:tcW w:w="2970"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cs="宋体"/>
                <w:b/>
                <w:bCs/>
                <w:color w:val="000000"/>
                <w:sz w:val="20"/>
                <w:szCs w:val="20"/>
              </w:rPr>
            </w:pPr>
            <w:r>
              <w:rPr>
                <w:rFonts w:hint="eastAsia" w:ascii="宋体" w:hAnsi="宋体" w:cs="宋体"/>
                <w:b/>
                <w:bCs/>
                <w:color w:val="000000"/>
                <w:kern w:val="0"/>
                <w:sz w:val="20"/>
                <w:szCs w:val="20"/>
              </w:rPr>
              <w:t>房产税</w:t>
            </w:r>
          </w:p>
        </w:tc>
        <w:tc>
          <w:tcPr>
            <w:tcW w:w="13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1905</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1908</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100.16 </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eastAsia="宋体" w:cs="宋体"/>
                <w:color w:val="000000"/>
                <w:sz w:val="20"/>
                <w:szCs w:val="20"/>
                <w:lang w:val="en-US" w:eastAsia="zh-CN"/>
              </w:rPr>
            </w:pPr>
            <w:r>
              <w:rPr>
                <w:rFonts w:hint="eastAsia" w:ascii="宋体" w:cs="宋体"/>
                <w:color w:val="000000"/>
                <w:sz w:val="20"/>
                <w:szCs w:val="20"/>
                <w:lang w:val="en-US" w:eastAsia="zh-CN"/>
              </w:rPr>
              <w:t>1129</w:t>
            </w:r>
          </w:p>
        </w:tc>
      </w:tr>
      <w:tr>
        <w:tblPrEx>
          <w:tblCellMar>
            <w:top w:w="0" w:type="dxa"/>
            <w:left w:w="108" w:type="dxa"/>
            <w:bottom w:w="0" w:type="dxa"/>
            <w:right w:w="108" w:type="dxa"/>
          </w:tblCellMar>
        </w:tblPrEx>
        <w:trPr>
          <w:trHeight w:val="439" w:hRule="atLeast"/>
          <w:jc w:val="center"/>
        </w:trPr>
        <w:tc>
          <w:tcPr>
            <w:tcW w:w="2970"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cs="宋体"/>
                <w:b/>
                <w:bCs/>
                <w:color w:val="000000"/>
                <w:sz w:val="20"/>
                <w:szCs w:val="20"/>
              </w:rPr>
            </w:pPr>
            <w:r>
              <w:rPr>
                <w:rFonts w:hint="eastAsia" w:ascii="宋体" w:hAnsi="宋体" w:cs="宋体"/>
                <w:b/>
                <w:bCs/>
                <w:color w:val="000000"/>
                <w:kern w:val="0"/>
                <w:sz w:val="20"/>
                <w:szCs w:val="20"/>
              </w:rPr>
              <w:t>印花税</w:t>
            </w:r>
          </w:p>
        </w:tc>
        <w:tc>
          <w:tcPr>
            <w:tcW w:w="13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1792</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1809</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100.95 </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eastAsia="宋体" w:cs="宋体"/>
                <w:color w:val="000000"/>
                <w:sz w:val="20"/>
                <w:szCs w:val="20"/>
                <w:lang w:val="en-US" w:eastAsia="zh-CN"/>
              </w:rPr>
            </w:pPr>
            <w:r>
              <w:rPr>
                <w:rFonts w:hint="eastAsia" w:ascii="宋体" w:cs="宋体"/>
                <w:color w:val="000000"/>
                <w:sz w:val="20"/>
                <w:szCs w:val="20"/>
                <w:lang w:val="en-US" w:eastAsia="zh-CN"/>
              </w:rPr>
              <w:t>1503</w:t>
            </w:r>
          </w:p>
        </w:tc>
      </w:tr>
      <w:tr>
        <w:tblPrEx>
          <w:tblCellMar>
            <w:top w:w="0" w:type="dxa"/>
            <w:left w:w="108" w:type="dxa"/>
            <w:bottom w:w="0" w:type="dxa"/>
            <w:right w:w="108" w:type="dxa"/>
          </w:tblCellMar>
        </w:tblPrEx>
        <w:trPr>
          <w:trHeight w:val="439" w:hRule="atLeast"/>
          <w:jc w:val="center"/>
        </w:trPr>
        <w:tc>
          <w:tcPr>
            <w:tcW w:w="2970"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cs="宋体"/>
                <w:b/>
                <w:bCs/>
                <w:color w:val="000000"/>
                <w:sz w:val="20"/>
                <w:szCs w:val="20"/>
              </w:rPr>
            </w:pPr>
            <w:r>
              <w:rPr>
                <w:rFonts w:hint="eastAsia" w:ascii="宋体" w:hAnsi="宋体" w:cs="宋体"/>
                <w:b/>
                <w:bCs/>
                <w:color w:val="000000"/>
                <w:kern w:val="0"/>
                <w:sz w:val="20"/>
                <w:szCs w:val="20"/>
              </w:rPr>
              <w:t>城镇土地使用税</w:t>
            </w:r>
          </w:p>
        </w:tc>
        <w:tc>
          <w:tcPr>
            <w:tcW w:w="13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3010</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3040</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101.00 </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eastAsia="宋体" w:cs="宋体"/>
                <w:color w:val="000000"/>
                <w:sz w:val="20"/>
                <w:szCs w:val="20"/>
                <w:lang w:val="en-US" w:eastAsia="zh-CN"/>
              </w:rPr>
            </w:pPr>
            <w:r>
              <w:rPr>
                <w:rFonts w:hint="eastAsia" w:ascii="宋体" w:cs="宋体"/>
                <w:color w:val="000000"/>
                <w:sz w:val="20"/>
                <w:szCs w:val="20"/>
                <w:lang w:val="en-US" w:eastAsia="zh-CN"/>
              </w:rPr>
              <w:t>2072</w:t>
            </w:r>
          </w:p>
        </w:tc>
      </w:tr>
      <w:tr>
        <w:tblPrEx>
          <w:tblCellMar>
            <w:top w:w="0" w:type="dxa"/>
            <w:left w:w="108" w:type="dxa"/>
            <w:bottom w:w="0" w:type="dxa"/>
            <w:right w:w="108" w:type="dxa"/>
          </w:tblCellMar>
        </w:tblPrEx>
        <w:trPr>
          <w:trHeight w:val="439" w:hRule="atLeast"/>
          <w:jc w:val="center"/>
        </w:trPr>
        <w:tc>
          <w:tcPr>
            <w:tcW w:w="2970"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cs="宋体"/>
                <w:b/>
                <w:bCs/>
                <w:color w:val="000000"/>
                <w:sz w:val="20"/>
                <w:szCs w:val="20"/>
              </w:rPr>
            </w:pPr>
            <w:r>
              <w:rPr>
                <w:rFonts w:hint="eastAsia" w:ascii="宋体" w:hAnsi="宋体" w:cs="宋体"/>
                <w:b/>
                <w:bCs/>
                <w:color w:val="000000"/>
                <w:kern w:val="0"/>
                <w:sz w:val="20"/>
                <w:szCs w:val="20"/>
              </w:rPr>
              <w:t>土地增值税</w:t>
            </w:r>
          </w:p>
        </w:tc>
        <w:tc>
          <w:tcPr>
            <w:tcW w:w="13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-7248</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-7685</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106.03 </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eastAsia="宋体" w:cs="宋体"/>
                <w:color w:val="000000"/>
                <w:sz w:val="20"/>
                <w:szCs w:val="20"/>
                <w:lang w:val="en-US" w:eastAsia="zh-CN"/>
              </w:rPr>
            </w:pPr>
            <w:r>
              <w:rPr>
                <w:rFonts w:hint="eastAsia" w:ascii="宋体" w:cs="宋体"/>
                <w:color w:val="000000"/>
                <w:sz w:val="20"/>
                <w:szCs w:val="20"/>
                <w:lang w:val="en-US" w:eastAsia="zh-CN"/>
              </w:rPr>
              <w:t>-7796</w:t>
            </w:r>
          </w:p>
        </w:tc>
      </w:tr>
      <w:tr>
        <w:tblPrEx>
          <w:tblCellMar>
            <w:top w:w="0" w:type="dxa"/>
            <w:left w:w="108" w:type="dxa"/>
            <w:bottom w:w="0" w:type="dxa"/>
            <w:right w:w="108" w:type="dxa"/>
          </w:tblCellMar>
        </w:tblPrEx>
        <w:trPr>
          <w:trHeight w:val="439" w:hRule="atLeast"/>
          <w:jc w:val="center"/>
        </w:trPr>
        <w:tc>
          <w:tcPr>
            <w:tcW w:w="2970"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cs="宋体"/>
                <w:b/>
                <w:bCs/>
                <w:color w:val="000000"/>
                <w:sz w:val="20"/>
                <w:szCs w:val="20"/>
              </w:rPr>
            </w:pPr>
            <w:r>
              <w:rPr>
                <w:rFonts w:hint="eastAsia" w:ascii="宋体" w:hAnsi="宋体" w:cs="宋体"/>
                <w:b/>
                <w:bCs/>
                <w:color w:val="000000"/>
                <w:kern w:val="0"/>
                <w:sz w:val="20"/>
                <w:szCs w:val="20"/>
              </w:rPr>
              <w:t>车船税</w:t>
            </w:r>
          </w:p>
        </w:tc>
        <w:tc>
          <w:tcPr>
            <w:tcW w:w="13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2174</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2175</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100.05 </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eastAsia="宋体" w:cs="宋体"/>
                <w:color w:val="000000"/>
                <w:sz w:val="20"/>
                <w:szCs w:val="20"/>
                <w:lang w:val="en-US" w:eastAsia="zh-CN"/>
              </w:rPr>
            </w:pPr>
            <w:r>
              <w:rPr>
                <w:rFonts w:hint="eastAsia" w:ascii="宋体" w:cs="宋体"/>
                <w:color w:val="000000"/>
                <w:sz w:val="20"/>
                <w:szCs w:val="20"/>
                <w:lang w:val="en-US" w:eastAsia="zh-CN"/>
              </w:rPr>
              <w:t>2169</w:t>
            </w:r>
          </w:p>
        </w:tc>
      </w:tr>
      <w:tr>
        <w:tblPrEx>
          <w:tblCellMar>
            <w:top w:w="0" w:type="dxa"/>
            <w:left w:w="108" w:type="dxa"/>
            <w:bottom w:w="0" w:type="dxa"/>
            <w:right w:w="108" w:type="dxa"/>
          </w:tblCellMar>
        </w:tblPrEx>
        <w:trPr>
          <w:trHeight w:val="439" w:hRule="atLeast"/>
          <w:jc w:val="center"/>
        </w:trPr>
        <w:tc>
          <w:tcPr>
            <w:tcW w:w="2970"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cs="宋体"/>
                <w:b/>
                <w:bCs/>
                <w:color w:val="000000"/>
                <w:sz w:val="20"/>
                <w:szCs w:val="20"/>
              </w:rPr>
            </w:pPr>
            <w:r>
              <w:rPr>
                <w:rFonts w:hint="eastAsia" w:ascii="宋体" w:hAnsi="宋体" w:cs="宋体"/>
                <w:b/>
                <w:bCs/>
                <w:color w:val="000000"/>
                <w:kern w:val="0"/>
                <w:sz w:val="20"/>
                <w:szCs w:val="20"/>
              </w:rPr>
              <w:t>耕地占用税</w:t>
            </w:r>
          </w:p>
        </w:tc>
        <w:tc>
          <w:tcPr>
            <w:tcW w:w="13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23835</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23836</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100.00 </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eastAsia="宋体" w:cs="宋体"/>
                <w:color w:val="000000"/>
                <w:sz w:val="20"/>
                <w:szCs w:val="20"/>
                <w:lang w:val="en-US" w:eastAsia="zh-CN"/>
              </w:rPr>
            </w:pPr>
            <w:r>
              <w:rPr>
                <w:rFonts w:hint="eastAsia" w:ascii="宋体" w:cs="宋体"/>
                <w:color w:val="000000"/>
                <w:sz w:val="20"/>
                <w:szCs w:val="20"/>
                <w:lang w:val="en-US" w:eastAsia="zh-CN"/>
              </w:rPr>
              <w:t>0</w:t>
            </w:r>
          </w:p>
        </w:tc>
      </w:tr>
      <w:tr>
        <w:tblPrEx>
          <w:tblCellMar>
            <w:top w:w="0" w:type="dxa"/>
            <w:left w:w="108" w:type="dxa"/>
            <w:bottom w:w="0" w:type="dxa"/>
            <w:right w:w="108" w:type="dxa"/>
          </w:tblCellMar>
        </w:tblPrEx>
        <w:trPr>
          <w:trHeight w:val="439" w:hRule="atLeast"/>
          <w:jc w:val="center"/>
        </w:trPr>
        <w:tc>
          <w:tcPr>
            <w:tcW w:w="2970"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cs="宋体"/>
                <w:b/>
                <w:bCs/>
                <w:color w:val="000000"/>
                <w:sz w:val="20"/>
                <w:szCs w:val="20"/>
              </w:rPr>
            </w:pPr>
            <w:r>
              <w:rPr>
                <w:rFonts w:hint="eastAsia" w:ascii="宋体" w:hAnsi="宋体" w:cs="宋体"/>
                <w:b/>
                <w:bCs/>
                <w:color w:val="000000"/>
                <w:kern w:val="0"/>
                <w:sz w:val="20"/>
                <w:szCs w:val="20"/>
              </w:rPr>
              <w:t>契税</w:t>
            </w:r>
          </w:p>
        </w:tc>
        <w:tc>
          <w:tcPr>
            <w:tcW w:w="13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6123</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6310</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103.05 </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eastAsia="宋体" w:cs="宋体"/>
                <w:color w:val="000000"/>
                <w:sz w:val="20"/>
                <w:szCs w:val="20"/>
                <w:lang w:val="en-US" w:eastAsia="zh-CN"/>
              </w:rPr>
            </w:pPr>
            <w:r>
              <w:rPr>
                <w:rFonts w:hint="eastAsia" w:ascii="宋体" w:cs="宋体"/>
                <w:color w:val="000000"/>
                <w:sz w:val="20"/>
                <w:szCs w:val="20"/>
                <w:lang w:val="en-US" w:eastAsia="zh-CN"/>
              </w:rPr>
              <w:t>3335</w:t>
            </w:r>
          </w:p>
        </w:tc>
      </w:tr>
      <w:tr>
        <w:tblPrEx>
          <w:tblCellMar>
            <w:top w:w="0" w:type="dxa"/>
            <w:left w:w="108" w:type="dxa"/>
            <w:bottom w:w="0" w:type="dxa"/>
            <w:right w:w="108" w:type="dxa"/>
          </w:tblCellMar>
        </w:tblPrEx>
        <w:trPr>
          <w:trHeight w:val="439" w:hRule="atLeast"/>
          <w:jc w:val="center"/>
        </w:trPr>
        <w:tc>
          <w:tcPr>
            <w:tcW w:w="2970"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cs="宋体"/>
                <w:b/>
                <w:bCs/>
                <w:color w:val="000000"/>
                <w:sz w:val="20"/>
                <w:szCs w:val="20"/>
              </w:rPr>
            </w:pPr>
            <w:r>
              <w:rPr>
                <w:rFonts w:hint="eastAsia" w:ascii="宋体" w:hAnsi="宋体" w:cs="宋体"/>
                <w:b/>
                <w:bCs/>
                <w:color w:val="000000"/>
                <w:kern w:val="0"/>
                <w:sz w:val="20"/>
                <w:szCs w:val="20"/>
              </w:rPr>
              <w:t>环保税</w:t>
            </w:r>
          </w:p>
        </w:tc>
        <w:tc>
          <w:tcPr>
            <w:tcW w:w="13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175</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175</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100.00 </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eastAsia="宋体" w:cs="宋体"/>
                <w:color w:val="000000"/>
                <w:sz w:val="20"/>
                <w:szCs w:val="20"/>
                <w:lang w:val="en-US" w:eastAsia="zh-CN"/>
              </w:rPr>
            </w:pPr>
            <w:r>
              <w:rPr>
                <w:rFonts w:hint="eastAsia" w:ascii="宋体" w:cs="宋体"/>
                <w:color w:val="000000"/>
                <w:sz w:val="20"/>
                <w:szCs w:val="20"/>
                <w:lang w:val="en-US" w:eastAsia="zh-CN"/>
              </w:rPr>
              <w:t>169</w:t>
            </w:r>
          </w:p>
        </w:tc>
      </w:tr>
      <w:tr>
        <w:tblPrEx>
          <w:tblCellMar>
            <w:top w:w="0" w:type="dxa"/>
            <w:left w:w="108" w:type="dxa"/>
            <w:bottom w:w="0" w:type="dxa"/>
            <w:right w:w="108" w:type="dxa"/>
          </w:tblCellMar>
        </w:tblPrEx>
        <w:trPr>
          <w:trHeight w:val="416" w:hRule="atLeast"/>
          <w:jc w:val="center"/>
        </w:trPr>
        <w:tc>
          <w:tcPr>
            <w:tcW w:w="2970"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cs="宋体"/>
                <w:b/>
                <w:bCs/>
                <w:color w:val="000000"/>
                <w:sz w:val="20"/>
                <w:szCs w:val="20"/>
              </w:rPr>
            </w:pPr>
            <w:r>
              <w:rPr>
                <w:rFonts w:hint="eastAsia" w:ascii="宋体" w:hAnsi="宋体" w:cs="宋体"/>
                <w:b/>
                <w:bCs/>
                <w:color w:val="000000"/>
                <w:kern w:val="0"/>
                <w:sz w:val="20"/>
                <w:szCs w:val="20"/>
              </w:rPr>
              <w:t>（二）非税收入</w:t>
            </w:r>
          </w:p>
        </w:tc>
        <w:tc>
          <w:tcPr>
            <w:tcW w:w="13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27411</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27852</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101.61 </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27852</w:t>
            </w:r>
          </w:p>
        </w:tc>
      </w:tr>
      <w:tr>
        <w:tblPrEx>
          <w:tblCellMar>
            <w:top w:w="0" w:type="dxa"/>
            <w:left w:w="108" w:type="dxa"/>
            <w:bottom w:w="0" w:type="dxa"/>
            <w:right w:w="108" w:type="dxa"/>
          </w:tblCellMar>
        </w:tblPrEx>
        <w:trPr>
          <w:trHeight w:val="439" w:hRule="atLeast"/>
          <w:jc w:val="center"/>
        </w:trPr>
        <w:tc>
          <w:tcPr>
            <w:tcW w:w="2970"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cs="宋体"/>
                <w:b/>
                <w:bCs/>
                <w:color w:val="000000"/>
                <w:sz w:val="20"/>
                <w:szCs w:val="20"/>
              </w:rPr>
            </w:pPr>
            <w:r>
              <w:rPr>
                <w:rFonts w:hint="eastAsia" w:ascii="宋体" w:hAnsi="宋体" w:cs="宋体"/>
                <w:b/>
                <w:bCs/>
                <w:color w:val="000000"/>
                <w:kern w:val="0"/>
                <w:sz w:val="20"/>
                <w:szCs w:val="20"/>
              </w:rPr>
              <w:t>行政事业性收费收入</w:t>
            </w:r>
          </w:p>
        </w:tc>
        <w:tc>
          <w:tcPr>
            <w:tcW w:w="13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5327</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5329</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100.04 </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5329</w:t>
            </w:r>
          </w:p>
        </w:tc>
      </w:tr>
      <w:tr>
        <w:tblPrEx>
          <w:tblCellMar>
            <w:top w:w="0" w:type="dxa"/>
            <w:left w:w="108" w:type="dxa"/>
            <w:bottom w:w="0" w:type="dxa"/>
            <w:right w:w="108" w:type="dxa"/>
          </w:tblCellMar>
        </w:tblPrEx>
        <w:trPr>
          <w:trHeight w:val="439" w:hRule="atLeast"/>
          <w:jc w:val="center"/>
        </w:trPr>
        <w:tc>
          <w:tcPr>
            <w:tcW w:w="2970"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cs="宋体"/>
                <w:b/>
                <w:bCs/>
                <w:color w:val="000000"/>
                <w:sz w:val="20"/>
                <w:szCs w:val="20"/>
              </w:rPr>
            </w:pPr>
            <w:r>
              <w:rPr>
                <w:rFonts w:hint="eastAsia" w:ascii="宋体" w:hAnsi="宋体" w:cs="宋体"/>
                <w:b/>
                <w:bCs/>
                <w:color w:val="000000"/>
                <w:kern w:val="0"/>
                <w:sz w:val="20"/>
                <w:szCs w:val="20"/>
              </w:rPr>
              <w:t>罚没收入</w:t>
            </w:r>
          </w:p>
        </w:tc>
        <w:tc>
          <w:tcPr>
            <w:tcW w:w="13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5964</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5964</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100.00 </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5964</w:t>
            </w:r>
          </w:p>
        </w:tc>
      </w:tr>
      <w:tr>
        <w:tblPrEx>
          <w:tblCellMar>
            <w:top w:w="0" w:type="dxa"/>
            <w:left w:w="108" w:type="dxa"/>
            <w:bottom w:w="0" w:type="dxa"/>
            <w:right w:w="108" w:type="dxa"/>
          </w:tblCellMar>
        </w:tblPrEx>
        <w:trPr>
          <w:trHeight w:val="439" w:hRule="atLeast"/>
          <w:jc w:val="center"/>
        </w:trPr>
        <w:tc>
          <w:tcPr>
            <w:tcW w:w="2970"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cs="宋体"/>
                <w:b/>
                <w:bCs/>
                <w:color w:val="000000"/>
                <w:sz w:val="20"/>
                <w:szCs w:val="20"/>
              </w:rPr>
            </w:pPr>
            <w:r>
              <w:rPr>
                <w:rFonts w:hint="eastAsia" w:ascii="宋体" w:hAnsi="宋体" w:cs="宋体"/>
                <w:b/>
                <w:bCs/>
                <w:color w:val="000000"/>
                <w:kern w:val="0"/>
                <w:sz w:val="20"/>
                <w:szCs w:val="20"/>
              </w:rPr>
              <w:t>专项收入</w:t>
            </w:r>
          </w:p>
        </w:tc>
        <w:tc>
          <w:tcPr>
            <w:tcW w:w="13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2894</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3306</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114.24 </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3306</w:t>
            </w:r>
          </w:p>
        </w:tc>
      </w:tr>
      <w:tr>
        <w:tblPrEx>
          <w:tblCellMar>
            <w:top w:w="0" w:type="dxa"/>
            <w:left w:w="108" w:type="dxa"/>
            <w:bottom w:w="0" w:type="dxa"/>
            <w:right w:w="108" w:type="dxa"/>
          </w:tblCellMar>
        </w:tblPrEx>
        <w:trPr>
          <w:trHeight w:val="439" w:hRule="atLeast"/>
          <w:jc w:val="center"/>
        </w:trPr>
        <w:tc>
          <w:tcPr>
            <w:tcW w:w="2970"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cs="宋体"/>
                <w:b/>
                <w:bCs/>
                <w:color w:val="000000"/>
                <w:sz w:val="20"/>
                <w:szCs w:val="20"/>
              </w:rPr>
            </w:pPr>
            <w:r>
              <w:rPr>
                <w:rFonts w:hint="eastAsia" w:ascii="宋体" w:hAnsi="宋体" w:cs="宋体"/>
                <w:b/>
                <w:bCs/>
                <w:color w:val="000000"/>
                <w:kern w:val="0"/>
                <w:sz w:val="20"/>
                <w:szCs w:val="20"/>
              </w:rPr>
              <w:t>国有资源有偿使用收入</w:t>
            </w:r>
          </w:p>
        </w:tc>
        <w:tc>
          <w:tcPr>
            <w:tcW w:w="13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12826</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12853</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100.21 </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12853</w:t>
            </w:r>
          </w:p>
        </w:tc>
      </w:tr>
      <w:tr>
        <w:tblPrEx>
          <w:tblCellMar>
            <w:top w:w="0" w:type="dxa"/>
            <w:left w:w="108" w:type="dxa"/>
            <w:bottom w:w="0" w:type="dxa"/>
            <w:right w:w="108" w:type="dxa"/>
          </w:tblCellMar>
        </w:tblPrEx>
        <w:trPr>
          <w:trHeight w:val="439" w:hRule="atLeast"/>
          <w:jc w:val="center"/>
        </w:trPr>
        <w:tc>
          <w:tcPr>
            <w:tcW w:w="2970"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cs="宋体"/>
                <w:b/>
                <w:bCs/>
                <w:color w:val="000000"/>
                <w:sz w:val="20"/>
                <w:szCs w:val="20"/>
              </w:rPr>
            </w:pPr>
            <w:r>
              <w:rPr>
                <w:rFonts w:hint="eastAsia" w:ascii="宋体" w:hAnsi="宋体" w:cs="宋体"/>
                <w:b/>
                <w:bCs/>
                <w:color w:val="000000"/>
                <w:kern w:val="0"/>
                <w:sz w:val="20"/>
                <w:szCs w:val="20"/>
              </w:rPr>
              <w:t>捐赠收入</w:t>
            </w:r>
          </w:p>
        </w:tc>
        <w:tc>
          <w:tcPr>
            <w:tcW w:w="13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c>
          <w:tcPr>
            <w:tcW w:w="154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c>
          <w:tcPr>
            <w:tcW w:w="157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c>
          <w:tcPr>
            <w:tcW w:w="171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r>
      <w:tr>
        <w:tblPrEx>
          <w:tblCellMar>
            <w:top w:w="0" w:type="dxa"/>
            <w:left w:w="108" w:type="dxa"/>
            <w:bottom w:w="0" w:type="dxa"/>
            <w:right w:w="108" w:type="dxa"/>
          </w:tblCellMar>
        </w:tblPrEx>
        <w:trPr>
          <w:trHeight w:val="439" w:hRule="atLeast"/>
          <w:jc w:val="center"/>
        </w:trPr>
        <w:tc>
          <w:tcPr>
            <w:tcW w:w="2970"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cs="宋体"/>
                <w:b/>
                <w:bCs/>
                <w:color w:val="000000"/>
                <w:sz w:val="20"/>
                <w:szCs w:val="20"/>
              </w:rPr>
            </w:pPr>
            <w:r>
              <w:rPr>
                <w:rFonts w:hint="eastAsia" w:ascii="宋体" w:hAnsi="宋体" w:cs="宋体"/>
                <w:b/>
                <w:bCs/>
                <w:color w:val="000000"/>
                <w:kern w:val="0"/>
                <w:sz w:val="20"/>
                <w:szCs w:val="20"/>
              </w:rPr>
              <w:t>政府住房基金收入</w:t>
            </w:r>
          </w:p>
        </w:tc>
        <w:tc>
          <w:tcPr>
            <w:tcW w:w="13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386</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386</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100.00 </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386</w:t>
            </w:r>
          </w:p>
        </w:tc>
      </w:tr>
      <w:tr>
        <w:tblPrEx>
          <w:tblCellMar>
            <w:top w:w="0" w:type="dxa"/>
            <w:left w:w="108" w:type="dxa"/>
            <w:bottom w:w="0" w:type="dxa"/>
            <w:right w:w="108" w:type="dxa"/>
          </w:tblCellMar>
        </w:tblPrEx>
        <w:trPr>
          <w:trHeight w:val="439" w:hRule="atLeast"/>
          <w:jc w:val="center"/>
        </w:trPr>
        <w:tc>
          <w:tcPr>
            <w:tcW w:w="2970"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cs="宋体"/>
                <w:b/>
                <w:bCs/>
                <w:color w:val="000000"/>
                <w:sz w:val="20"/>
                <w:szCs w:val="20"/>
              </w:rPr>
            </w:pPr>
            <w:r>
              <w:rPr>
                <w:rFonts w:hint="eastAsia" w:ascii="宋体" w:hAnsi="宋体" w:cs="宋体"/>
                <w:b/>
                <w:bCs/>
                <w:color w:val="000000"/>
                <w:kern w:val="0"/>
                <w:sz w:val="20"/>
                <w:szCs w:val="20"/>
              </w:rPr>
              <w:t>其他收入</w:t>
            </w:r>
          </w:p>
        </w:tc>
        <w:tc>
          <w:tcPr>
            <w:tcW w:w="13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14</w:t>
            </w:r>
          </w:p>
        </w:tc>
        <w:tc>
          <w:tcPr>
            <w:tcW w:w="15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14</w:t>
            </w:r>
          </w:p>
        </w:tc>
        <w:tc>
          <w:tcPr>
            <w:tcW w:w="15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100.00 </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14</w:t>
            </w:r>
          </w:p>
        </w:tc>
      </w:tr>
    </w:tbl>
    <w:p/>
    <w:p>
      <w:pPr>
        <w:pStyle w:val="7"/>
        <w:jc w:val="both"/>
      </w:pPr>
      <w:r>
        <w:rPr>
          <w:rFonts w:hint="eastAsia" w:ascii="仿宋_GB2312" w:hAnsi="宋体" w:eastAsia="仿宋_GB2312" w:cs="仿宋_GB2312"/>
          <w:color w:val="000000"/>
          <w:szCs w:val="21"/>
        </w:rPr>
        <w:t>附表</w:t>
      </w:r>
      <w:r>
        <w:rPr>
          <w:rFonts w:ascii="仿宋_GB2312" w:hAnsi="宋体" w:eastAsia="仿宋_GB2312" w:cs="仿宋_GB2312"/>
          <w:color w:val="000000"/>
          <w:szCs w:val="21"/>
        </w:rPr>
        <w:t>1-2</w:t>
      </w:r>
    </w:p>
    <w:tbl>
      <w:tblPr>
        <w:tblStyle w:val="8"/>
        <w:tblW w:w="8970" w:type="dxa"/>
        <w:jc w:val="center"/>
        <w:tblLayout w:type="fixed"/>
        <w:tblCellMar>
          <w:top w:w="0" w:type="dxa"/>
          <w:left w:w="108" w:type="dxa"/>
          <w:bottom w:w="0" w:type="dxa"/>
          <w:right w:w="108" w:type="dxa"/>
        </w:tblCellMar>
      </w:tblPr>
      <w:tblGrid>
        <w:gridCol w:w="1045"/>
        <w:gridCol w:w="2584"/>
        <w:gridCol w:w="1383"/>
        <w:gridCol w:w="1273"/>
        <w:gridCol w:w="1245"/>
        <w:gridCol w:w="1440"/>
      </w:tblGrid>
      <w:tr>
        <w:tblPrEx>
          <w:tblCellMar>
            <w:top w:w="0" w:type="dxa"/>
            <w:left w:w="108" w:type="dxa"/>
            <w:bottom w:w="0" w:type="dxa"/>
            <w:right w:w="108" w:type="dxa"/>
          </w:tblCellMar>
        </w:tblPrEx>
        <w:trPr>
          <w:trHeight w:val="441" w:hRule="atLeast"/>
          <w:jc w:val="center"/>
        </w:trPr>
        <w:tc>
          <w:tcPr>
            <w:tcW w:w="8970" w:type="dxa"/>
            <w:gridSpan w:val="6"/>
            <w:tcBorders>
              <w:top w:val="nil"/>
              <w:left w:val="nil"/>
              <w:bottom w:val="nil"/>
              <w:right w:val="nil"/>
            </w:tcBorders>
            <w:shd w:val="clear" w:color="auto" w:fill="FFFFFF"/>
            <w:noWrap/>
            <w:vAlign w:val="center"/>
          </w:tcPr>
          <w:p>
            <w:pPr>
              <w:widowControl/>
              <w:jc w:val="center"/>
              <w:textAlignment w:val="center"/>
              <w:rPr>
                <w:rFonts w:ascii="黑体" w:hAnsi="宋体" w:eastAsia="黑体" w:cs="黑体"/>
                <w:b/>
                <w:bCs/>
                <w:color w:val="000000"/>
                <w:sz w:val="32"/>
                <w:szCs w:val="32"/>
              </w:rPr>
            </w:pPr>
            <w:r>
              <w:rPr>
                <w:rFonts w:ascii="黑体" w:hAnsi="宋体" w:eastAsia="黑体" w:cs="黑体"/>
                <w:b/>
                <w:bCs/>
                <w:color w:val="000000"/>
                <w:kern w:val="0"/>
                <w:sz w:val="32"/>
                <w:szCs w:val="32"/>
              </w:rPr>
              <w:t>202</w:t>
            </w:r>
            <w:r>
              <w:rPr>
                <w:rFonts w:hint="eastAsia" w:ascii="黑体" w:hAnsi="宋体" w:eastAsia="黑体" w:cs="黑体"/>
                <w:b/>
                <w:bCs/>
                <w:color w:val="000000"/>
                <w:kern w:val="0"/>
                <w:sz w:val="32"/>
                <w:szCs w:val="32"/>
                <w:lang w:val="en-US" w:eastAsia="zh-CN"/>
              </w:rPr>
              <w:t>4</w:t>
            </w:r>
            <w:r>
              <w:rPr>
                <w:rFonts w:hint="eastAsia" w:ascii="黑体" w:hAnsi="宋体" w:eastAsia="黑体" w:cs="黑体"/>
                <w:b/>
                <w:bCs/>
                <w:color w:val="000000"/>
                <w:kern w:val="0"/>
                <w:sz w:val="32"/>
                <w:szCs w:val="32"/>
              </w:rPr>
              <w:t>年一般公共支出预算完成情况表</w:t>
            </w:r>
          </w:p>
        </w:tc>
      </w:tr>
      <w:tr>
        <w:tblPrEx>
          <w:tblCellMar>
            <w:top w:w="0" w:type="dxa"/>
            <w:left w:w="108" w:type="dxa"/>
            <w:bottom w:w="0" w:type="dxa"/>
            <w:right w:w="108" w:type="dxa"/>
          </w:tblCellMar>
        </w:tblPrEx>
        <w:trPr>
          <w:trHeight w:val="270" w:hRule="atLeast"/>
          <w:jc w:val="center"/>
        </w:trPr>
        <w:tc>
          <w:tcPr>
            <w:tcW w:w="1045" w:type="dxa"/>
            <w:tcBorders>
              <w:top w:val="nil"/>
              <w:left w:val="nil"/>
              <w:bottom w:val="nil"/>
              <w:right w:val="nil"/>
            </w:tcBorders>
            <w:noWrap/>
            <w:vAlign w:val="center"/>
          </w:tcPr>
          <w:p>
            <w:pPr>
              <w:rPr>
                <w:rFonts w:ascii="仿宋_GB2312" w:hAnsi="宋体" w:eastAsia="仿宋_GB2312" w:cs="仿宋_GB2312"/>
                <w:color w:val="000000"/>
                <w:szCs w:val="21"/>
              </w:rPr>
            </w:pPr>
          </w:p>
        </w:tc>
        <w:tc>
          <w:tcPr>
            <w:tcW w:w="2584" w:type="dxa"/>
            <w:tcBorders>
              <w:top w:val="nil"/>
              <w:left w:val="nil"/>
              <w:bottom w:val="nil"/>
              <w:right w:val="nil"/>
            </w:tcBorders>
            <w:noWrap/>
            <w:vAlign w:val="center"/>
          </w:tcPr>
          <w:p>
            <w:pPr>
              <w:rPr>
                <w:rFonts w:ascii="仿宋_GB2312" w:hAnsi="宋体" w:eastAsia="仿宋_GB2312" w:cs="仿宋_GB2312"/>
                <w:color w:val="000000"/>
                <w:szCs w:val="21"/>
              </w:rPr>
            </w:pPr>
          </w:p>
        </w:tc>
        <w:tc>
          <w:tcPr>
            <w:tcW w:w="1383" w:type="dxa"/>
            <w:tcBorders>
              <w:top w:val="nil"/>
              <w:left w:val="nil"/>
              <w:bottom w:val="nil"/>
              <w:right w:val="nil"/>
            </w:tcBorders>
            <w:noWrap/>
            <w:vAlign w:val="center"/>
          </w:tcPr>
          <w:p>
            <w:pPr>
              <w:rPr>
                <w:rFonts w:ascii="仿宋_GB2312" w:hAnsi="宋体" w:eastAsia="仿宋_GB2312" w:cs="仿宋_GB2312"/>
                <w:color w:val="000000"/>
                <w:szCs w:val="21"/>
              </w:rPr>
            </w:pPr>
          </w:p>
        </w:tc>
        <w:tc>
          <w:tcPr>
            <w:tcW w:w="3958" w:type="dxa"/>
            <w:gridSpan w:val="3"/>
            <w:tcBorders>
              <w:top w:val="nil"/>
              <w:left w:val="nil"/>
              <w:bottom w:val="single" w:color="000000" w:sz="4" w:space="0"/>
              <w:right w:val="nil"/>
            </w:tcBorders>
            <w:noWrap/>
            <w:vAlign w:val="center"/>
          </w:tcPr>
          <w:p>
            <w:pPr>
              <w:widowControl/>
              <w:jc w:val="center"/>
              <w:textAlignment w:val="center"/>
              <w:rPr>
                <w:rFonts w:ascii="宋体" w:cs="宋体"/>
                <w:color w:val="000000"/>
                <w:sz w:val="20"/>
                <w:szCs w:val="20"/>
              </w:rPr>
            </w:pPr>
            <w:r>
              <w:rPr>
                <w:rStyle w:val="17"/>
              </w:rPr>
              <w:t xml:space="preserve">                     </w:t>
            </w:r>
            <w:r>
              <w:rPr>
                <w:rStyle w:val="17"/>
                <w:rFonts w:hint="eastAsia"/>
              </w:rPr>
              <w:t>单位：万元</w:t>
            </w:r>
          </w:p>
        </w:tc>
      </w:tr>
      <w:tr>
        <w:trPr>
          <w:trHeight w:val="541" w:hRule="atLeast"/>
          <w:jc w:val="center"/>
        </w:trPr>
        <w:tc>
          <w:tcPr>
            <w:tcW w:w="104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rPr>
              <w:t>科目编码</w:t>
            </w:r>
          </w:p>
        </w:tc>
        <w:tc>
          <w:tcPr>
            <w:tcW w:w="2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宋体" w:cs="宋体"/>
                <w:b/>
                <w:bCs/>
                <w:color w:val="000000"/>
                <w:sz w:val="20"/>
                <w:szCs w:val="20"/>
              </w:rPr>
            </w:pPr>
            <w:r>
              <w:rPr>
                <w:rFonts w:hint="eastAsia" w:ascii="宋体" w:hAnsi="宋体" w:cs="宋体"/>
                <w:b/>
                <w:bCs/>
                <w:color w:val="000000"/>
                <w:kern w:val="0"/>
                <w:sz w:val="20"/>
                <w:szCs w:val="20"/>
              </w:rPr>
              <w:t>科</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目</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名</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称</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宋体" w:cs="宋体"/>
                <w:b/>
                <w:bCs/>
                <w:color w:val="000000"/>
                <w:sz w:val="20"/>
                <w:szCs w:val="20"/>
              </w:rPr>
            </w:pPr>
            <w:r>
              <w:rPr>
                <w:rFonts w:hint="eastAsia" w:ascii="宋体" w:hAnsi="宋体" w:cs="宋体"/>
                <w:b/>
                <w:bCs/>
                <w:color w:val="000000"/>
                <w:kern w:val="0"/>
                <w:sz w:val="20"/>
                <w:szCs w:val="20"/>
              </w:rPr>
              <w:t>调整预算数</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宋体" w:cs="宋体"/>
                <w:b/>
                <w:bCs/>
                <w:color w:val="000000"/>
                <w:sz w:val="20"/>
                <w:szCs w:val="20"/>
              </w:rPr>
            </w:pPr>
            <w:r>
              <w:rPr>
                <w:rFonts w:hint="eastAsia" w:ascii="宋体" w:hAnsi="宋体" w:cs="宋体"/>
                <w:b/>
                <w:bCs/>
                <w:color w:val="000000"/>
                <w:kern w:val="0"/>
                <w:sz w:val="20"/>
                <w:szCs w:val="20"/>
              </w:rPr>
              <w:t>实际完成数</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宋体" w:cs="宋体"/>
                <w:b/>
                <w:bCs/>
                <w:color w:val="000000"/>
                <w:sz w:val="20"/>
                <w:szCs w:val="20"/>
              </w:rPr>
            </w:pPr>
            <w:r>
              <w:rPr>
                <w:rFonts w:hint="eastAsia" w:ascii="宋体" w:hAnsi="宋体" w:cs="宋体"/>
                <w:b/>
                <w:bCs/>
                <w:color w:val="000000"/>
                <w:kern w:val="0"/>
                <w:sz w:val="20"/>
                <w:szCs w:val="20"/>
              </w:rPr>
              <w:t>占调整预算（</w:t>
            </w:r>
            <w:r>
              <w:rPr>
                <w:rFonts w:ascii="宋体" w:hAnsi="宋体" w:cs="宋体"/>
                <w:b/>
                <w:bCs/>
                <w:color w:val="000000"/>
                <w:kern w:val="0"/>
                <w:sz w:val="20"/>
                <w:szCs w:val="20"/>
              </w:rPr>
              <w:t>%</w:t>
            </w:r>
            <w:r>
              <w:rPr>
                <w:rFonts w:hint="eastAsia" w:ascii="宋体" w:hAnsi="宋体" w:cs="宋体"/>
                <w:b/>
                <w:bCs/>
                <w:color w:val="000000"/>
                <w:kern w:val="0"/>
                <w:sz w:val="20"/>
                <w:szCs w:val="20"/>
              </w:rPr>
              <w:t>）</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宋体" w:cs="宋体"/>
                <w:b/>
                <w:bCs/>
                <w:color w:val="000000"/>
                <w:sz w:val="20"/>
                <w:szCs w:val="20"/>
              </w:rPr>
            </w:pPr>
            <w:r>
              <w:rPr>
                <w:rFonts w:hint="eastAsia" w:ascii="宋体" w:hAnsi="宋体" w:cs="宋体"/>
                <w:b/>
                <w:bCs/>
                <w:color w:val="000000"/>
                <w:kern w:val="0"/>
                <w:sz w:val="20"/>
                <w:szCs w:val="20"/>
              </w:rPr>
              <w:t>其中县本级完成数</w:t>
            </w:r>
          </w:p>
        </w:tc>
      </w:tr>
      <w:tr>
        <w:tblPrEx>
          <w:tblCellMar>
            <w:top w:w="0" w:type="dxa"/>
            <w:left w:w="108" w:type="dxa"/>
            <w:bottom w:w="0" w:type="dxa"/>
            <w:right w:w="108" w:type="dxa"/>
          </w:tblCellMar>
        </w:tblPrEx>
        <w:trPr>
          <w:trHeight w:val="458" w:hRule="atLeast"/>
          <w:jc w:val="center"/>
        </w:trPr>
        <w:tc>
          <w:tcPr>
            <w:tcW w:w="3629"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宋体" w:cs="宋体"/>
                <w:color w:val="000000"/>
                <w:sz w:val="20"/>
                <w:szCs w:val="20"/>
              </w:rPr>
            </w:pPr>
            <w:r>
              <w:rPr>
                <w:rFonts w:hint="eastAsia" w:ascii="宋体" w:hAnsi="宋体" w:cs="宋体"/>
                <w:color w:val="000000"/>
                <w:kern w:val="0"/>
                <w:sz w:val="20"/>
                <w:szCs w:val="20"/>
              </w:rPr>
              <w:t>支出合计</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539402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54420</w:t>
            </w:r>
            <w:r>
              <w:rPr>
                <w:rFonts w:hint="eastAsia" w:ascii="宋体" w:hAnsi="宋体" w:cs="宋体"/>
                <w:i w:val="0"/>
                <w:color w:val="000000"/>
                <w:kern w:val="0"/>
                <w:sz w:val="20"/>
                <w:szCs w:val="20"/>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100.89 </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eastAsia="宋体" w:cs="宋体"/>
                <w:color w:val="000000"/>
                <w:sz w:val="20"/>
                <w:szCs w:val="20"/>
                <w:highlight w:val="none"/>
                <w:lang w:val="en-US" w:eastAsia="zh-CN"/>
              </w:rPr>
            </w:pPr>
            <w:r>
              <w:rPr>
                <w:rFonts w:hint="eastAsia" w:ascii="宋体" w:cs="宋体"/>
                <w:color w:val="000000"/>
                <w:sz w:val="20"/>
                <w:szCs w:val="20"/>
                <w:highlight w:val="none"/>
                <w:lang w:val="en-US" w:eastAsia="zh-CN"/>
              </w:rPr>
              <w:t>528925</w:t>
            </w:r>
          </w:p>
        </w:tc>
      </w:tr>
      <w:tr>
        <w:trPr>
          <w:trHeight w:val="458" w:hRule="atLeast"/>
          <w:jc w:val="center"/>
        </w:trPr>
        <w:tc>
          <w:tcPr>
            <w:tcW w:w="104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201</w:t>
            </w:r>
          </w:p>
        </w:tc>
        <w:tc>
          <w:tcPr>
            <w:tcW w:w="2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rPr>
              <w:t>一般公共服务支出</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73273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74317 </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101.42 </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eastAsia="宋体" w:cs="宋体"/>
                <w:color w:val="000000"/>
                <w:sz w:val="20"/>
                <w:szCs w:val="20"/>
                <w:highlight w:val="none"/>
                <w:lang w:val="en-US" w:eastAsia="zh-CN"/>
              </w:rPr>
            </w:pPr>
            <w:r>
              <w:rPr>
                <w:rFonts w:hint="eastAsia" w:ascii="宋体" w:cs="宋体"/>
                <w:color w:val="000000"/>
                <w:sz w:val="20"/>
                <w:szCs w:val="20"/>
                <w:highlight w:val="none"/>
                <w:lang w:val="en-US" w:eastAsia="zh-CN"/>
              </w:rPr>
              <w:t>74317</w:t>
            </w:r>
          </w:p>
        </w:tc>
      </w:tr>
      <w:tr>
        <w:trPr>
          <w:trHeight w:val="458" w:hRule="atLeast"/>
          <w:jc w:val="center"/>
        </w:trPr>
        <w:tc>
          <w:tcPr>
            <w:tcW w:w="104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203</w:t>
            </w:r>
          </w:p>
        </w:tc>
        <w:tc>
          <w:tcPr>
            <w:tcW w:w="2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rPr>
              <w:t>国防支出</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136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136 </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100.00 </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eastAsia="宋体" w:cs="宋体"/>
                <w:color w:val="000000"/>
                <w:sz w:val="20"/>
                <w:szCs w:val="20"/>
                <w:highlight w:val="none"/>
                <w:lang w:val="en-US" w:eastAsia="zh-CN"/>
              </w:rPr>
            </w:pPr>
            <w:r>
              <w:rPr>
                <w:rFonts w:hint="eastAsia" w:ascii="宋体" w:cs="宋体"/>
                <w:color w:val="000000"/>
                <w:sz w:val="20"/>
                <w:szCs w:val="20"/>
                <w:highlight w:val="none"/>
                <w:lang w:val="en-US" w:eastAsia="zh-CN"/>
              </w:rPr>
              <w:t>136</w:t>
            </w:r>
          </w:p>
        </w:tc>
      </w:tr>
      <w:tr>
        <w:tblPrEx>
          <w:tblCellMar>
            <w:top w:w="0" w:type="dxa"/>
            <w:left w:w="108" w:type="dxa"/>
            <w:bottom w:w="0" w:type="dxa"/>
            <w:right w:w="108" w:type="dxa"/>
          </w:tblCellMar>
        </w:tblPrEx>
        <w:trPr>
          <w:trHeight w:val="458" w:hRule="atLeast"/>
          <w:jc w:val="center"/>
        </w:trPr>
        <w:tc>
          <w:tcPr>
            <w:tcW w:w="104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204</w:t>
            </w:r>
          </w:p>
        </w:tc>
        <w:tc>
          <w:tcPr>
            <w:tcW w:w="2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rPr>
              <w:t>公共安全支出</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14821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15426 </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104.08 </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eastAsia="宋体" w:cs="宋体"/>
                <w:color w:val="000000"/>
                <w:sz w:val="20"/>
                <w:szCs w:val="20"/>
                <w:highlight w:val="none"/>
                <w:lang w:val="en-US" w:eastAsia="zh-CN"/>
              </w:rPr>
            </w:pPr>
            <w:r>
              <w:rPr>
                <w:rFonts w:hint="eastAsia" w:ascii="宋体" w:cs="宋体"/>
                <w:color w:val="000000"/>
                <w:sz w:val="20"/>
                <w:szCs w:val="20"/>
                <w:highlight w:val="none"/>
                <w:lang w:val="en-US" w:eastAsia="zh-CN"/>
              </w:rPr>
              <w:t>14988</w:t>
            </w:r>
          </w:p>
        </w:tc>
      </w:tr>
      <w:tr>
        <w:trPr>
          <w:trHeight w:val="458" w:hRule="atLeast"/>
          <w:jc w:val="center"/>
        </w:trPr>
        <w:tc>
          <w:tcPr>
            <w:tcW w:w="104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205</w:t>
            </w:r>
          </w:p>
        </w:tc>
        <w:tc>
          <w:tcPr>
            <w:tcW w:w="2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rPr>
              <w:t>教育支出</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84256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84803 </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100.65 </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eastAsia="宋体" w:cs="宋体"/>
                <w:color w:val="000000"/>
                <w:sz w:val="20"/>
                <w:szCs w:val="20"/>
                <w:highlight w:val="none"/>
                <w:lang w:val="en-US" w:eastAsia="zh-CN"/>
              </w:rPr>
            </w:pPr>
            <w:r>
              <w:rPr>
                <w:rFonts w:hint="eastAsia" w:ascii="宋体" w:cs="宋体"/>
                <w:color w:val="000000"/>
                <w:sz w:val="20"/>
                <w:szCs w:val="20"/>
                <w:highlight w:val="none"/>
                <w:lang w:val="en-US" w:eastAsia="zh-CN"/>
              </w:rPr>
              <w:t>84903</w:t>
            </w:r>
          </w:p>
        </w:tc>
      </w:tr>
      <w:tr>
        <w:trPr>
          <w:trHeight w:val="458" w:hRule="atLeast"/>
          <w:jc w:val="center"/>
        </w:trPr>
        <w:tc>
          <w:tcPr>
            <w:tcW w:w="104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206</w:t>
            </w:r>
          </w:p>
        </w:tc>
        <w:tc>
          <w:tcPr>
            <w:tcW w:w="2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rPr>
              <w:t>科学技术支出</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372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372 </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100.00 </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eastAsia="宋体" w:cs="宋体"/>
                <w:color w:val="000000"/>
                <w:sz w:val="20"/>
                <w:szCs w:val="20"/>
                <w:highlight w:val="none"/>
                <w:lang w:val="en-US" w:eastAsia="zh-CN"/>
              </w:rPr>
            </w:pPr>
            <w:r>
              <w:rPr>
                <w:rFonts w:hint="eastAsia" w:ascii="宋体" w:cs="宋体"/>
                <w:color w:val="000000"/>
                <w:sz w:val="20"/>
                <w:szCs w:val="20"/>
                <w:highlight w:val="none"/>
                <w:lang w:val="en-US" w:eastAsia="zh-CN"/>
              </w:rPr>
              <w:t>372</w:t>
            </w:r>
          </w:p>
        </w:tc>
      </w:tr>
      <w:tr>
        <w:tblPrEx>
          <w:tblCellMar>
            <w:top w:w="0" w:type="dxa"/>
            <w:left w:w="108" w:type="dxa"/>
            <w:bottom w:w="0" w:type="dxa"/>
            <w:right w:w="108" w:type="dxa"/>
          </w:tblCellMar>
        </w:tblPrEx>
        <w:trPr>
          <w:trHeight w:val="458" w:hRule="atLeast"/>
          <w:jc w:val="center"/>
        </w:trPr>
        <w:tc>
          <w:tcPr>
            <w:tcW w:w="104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207</w:t>
            </w:r>
          </w:p>
        </w:tc>
        <w:tc>
          <w:tcPr>
            <w:tcW w:w="2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rPr>
              <w:t>文化旅游体育与传媒支出</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4344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4346 </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100.05 </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eastAsia="宋体" w:cs="宋体"/>
                <w:color w:val="000000"/>
                <w:sz w:val="20"/>
                <w:szCs w:val="20"/>
                <w:highlight w:val="none"/>
                <w:lang w:val="en-US" w:eastAsia="zh-CN"/>
              </w:rPr>
            </w:pPr>
            <w:r>
              <w:rPr>
                <w:rFonts w:hint="eastAsia" w:ascii="宋体" w:cs="宋体"/>
                <w:color w:val="000000"/>
                <w:sz w:val="20"/>
                <w:szCs w:val="20"/>
                <w:highlight w:val="none"/>
                <w:lang w:val="en-US" w:eastAsia="zh-CN"/>
              </w:rPr>
              <w:t>4346</w:t>
            </w:r>
          </w:p>
        </w:tc>
      </w:tr>
      <w:tr>
        <w:tblPrEx>
          <w:tblCellMar>
            <w:top w:w="0" w:type="dxa"/>
            <w:left w:w="108" w:type="dxa"/>
            <w:bottom w:w="0" w:type="dxa"/>
            <w:right w:w="108" w:type="dxa"/>
          </w:tblCellMar>
        </w:tblPrEx>
        <w:trPr>
          <w:trHeight w:val="458" w:hRule="atLeast"/>
          <w:jc w:val="center"/>
        </w:trPr>
        <w:tc>
          <w:tcPr>
            <w:tcW w:w="104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208</w:t>
            </w:r>
          </w:p>
        </w:tc>
        <w:tc>
          <w:tcPr>
            <w:tcW w:w="2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rPr>
              <w:t>社会保障和就业支出</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85822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85921 </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100.12 </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eastAsia="宋体" w:cs="宋体"/>
                <w:color w:val="000000"/>
                <w:sz w:val="20"/>
                <w:szCs w:val="20"/>
                <w:highlight w:val="none"/>
                <w:lang w:val="en-US" w:eastAsia="zh-CN"/>
              </w:rPr>
            </w:pPr>
            <w:r>
              <w:rPr>
                <w:rFonts w:hint="eastAsia" w:ascii="宋体" w:cs="宋体"/>
                <w:color w:val="000000"/>
                <w:sz w:val="20"/>
                <w:szCs w:val="20"/>
                <w:highlight w:val="none"/>
                <w:lang w:val="en-US" w:eastAsia="zh-CN"/>
              </w:rPr>
              <w:t>72431</w:t>
            </w:r>
          </w:p>
        </w:tc>
      </w:tr>
      <w:tr>
        <w:trPr>
          <w:trHeight w:val="458" w:hRule="atLeast"/>
          <w:jc w:val="center"/>
        </w:trPr>
        <w:tc>
          <w:tcPr>
            <w:tcW w:w="104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210</w:t>
            </w:r>
          </w:p>
        </w:tc>
        <w:tc>
          <w:tcPr>
            <w:tcW w:w="2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rPr>
              <w:t>卫生健康支出</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30859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31121 </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100.85 </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eastAsia="宋体" w:cs="宋体"/>
                <w:color w:val="000000"/>
                <w:sz w:val="20"/>
                <w:szCs w:val="20"/>
                <w:highlight w:val="none"/>
                <w:lang w:val="en-US" w:eastAsia="zh-CN"/>
              </w:rPr>
            </w:pPr>
            <w:r>
              <w:rPr>
                <w:rFonts w:hint="eastAsia" w:ascii="宋体" w:cs="宋体"/>
                <w:color w:val="000000"/>
                <w:sz w:val="20"/>
                <w:szCs w:val="20"/>
                <w:highlight w:val="none"/>
                <w:lang w:val="en-US" w:eastAsia="zh-CN"/>
              </w:rPr>
              <w:t>30673</w:t>
            </w:r>
          </w:p>
        </w:tc>
      </w:tr>
      <w:tr>
        <w:trPr>
          <w:trHeight w:val="458" w:hRule="atLeast"/>
          <w:jc w:val="center"/>
        </w:trPr>
        <w:tc>
          <w:tcPr>
            <w:tcW w:w="104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211</w:t>
            </w:r>
          </w:p>
        </w:tc>
        <w:tc>
          <w:tcPr>
            <w:tcW w:w="2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rPr>
              <w:t>节能环保支出</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23733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21877 </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92.18 </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eastAsia="宋体" w:cs="宋体"/>
                <w:color w:val="000000"/>
                <w:sz w:val="20"/>
                <w:szCs w:val="20"/>
                <w:highlight w:val="none"/>
                <w:lang w:val="en-US" w:eastAsia="zh-CN"/>
              </w:rPr>
            </w:pPr>
            <w:r>
              <w:rPr>
                <w:rFonts w:hint="eastAsia" w:ascii="宋体" w:cs="宋体"/>
                <w:color w:val="000000"/>
                <w:sz w:val="20"/>
                <w:szCs w:val="20"/>
                <w:highlight w:val="none"/>
                <w:lang w:val="en-US" w:eastAsia="zh-CN"/>
              </w:rPr>
              <w:t>21877</w:t>
            </w:r>
          </w:p>
        </w:tc>
      </w:tr>
      <w:tr>
        <w:trPr>
          <w:trHeight w:val="458" w:hRule="atLeast"/>
          <w:jc w:val="center"/>
        </w:trPr>
        <w:tc>
          <w:tcPr>
            <w:tcW w:w="104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212</w:t>
            </w:r>
          </w:p>
        </w:tc>
        <w:tc>
          <w:tcPr>
            <w:tcW w:w="2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rPr>
              <w:t>城乡社区支出</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16926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16926 </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100.00 </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eastAsia="宋体" w:cs="宋体"/>
                <w:color w:val="000000"/>
                <w:sz w:val="20"/>
                <w:szCs w:val="20"/>
                <w:highlight w:val="none"/>
                <w:lang w:val="en-US" w:eastAsia="zh-CN"/>
              </w:rPr>
            </w:pPr>
            <w:r>
              <w:rPr>
                <w:rFonts w:hint="eastAsia" w:ascii="宋体" w:cs="宋体"/>
                <w:color w:val="000000"/>
                <w:sz w:val="20"/>
                <w:szCs w:val="20"/>
                <w:highlight w:val="none"/>
                <w:lang w:val="en-US" w:eastAsia="zh-CN"/>
              </w:rPr>
              <w:t>16926</w:t>
            </w:r>
          </w:p>
        </w:tc>
      </w:tr>
      <w:tr>
        <w:trPr>
          <w:trHeight w:val="458" w:hRule="atLeast"/>
          <w:jc w:val="center"/>
        </w:trPr>
        <w:tc>
          <w:tcPr>
            <w:tcW w:w="104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213</w:t>
            </w:r>
          </w:p>
        </w:tc>
        <w:tc>
          <w:tcPr>
            <w:tcW w:w="2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rPr>
              <w:t>农林水支出</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123773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130698 </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105.59 </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eastAsia="宋体" w:cs="宋体"/>
                <w:color w:val="000000"/>
                <w:sz w:val="20"/>
                <w:szCs w:val="20"/>
                <w:highlight w:val="none"/>
                <w:lang w:val="en-US" w:eastAsia="zh-CN"/>
              </w:rPr>
            </w:pPr>
            <w:r>
              <w:rPr>
                <w:rFonts w:hint="eastAsia" w:ascii="宋体" w:cs="宋体"/>
                <w:color w:val="000000"/>
                <w:sz w:val="20"/>
                <w:szCs w:val="20"/>
                <w:highlight w:val="none"/>
                <w:lang w:val="en-US" w:eastAsia="zh-CN"/>
              </w:rPr>
              <w:t>130698</w:t>
            </w:r>
          </w:p>
        </w:tc>
      </w:tr>
      <w:tr>
        <w:trPr>
          <w:trHeight w:val="458" w:hRule="atLeast"/>
          <w:jc w:val="center"/>
        </w:trPr>
        <w:tc>
          <w:tcPr>
            <w:tcW w:w="104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214</w:t>
            </w:r>
          </w:p>
        </w:tc>
        <w:tc>
          <w:tcPr>
            <w:tcW w:w="2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rPr>
              <w:t>交通运输支出</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35672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36205 </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101.49 </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eastAsia="宋体" w:cs="宋体"/>
                <w:color w:val="000000"/>
                <w:sz w:val="20"/>
                <w:szCs w:val="20"/>
                <w:highlight w:val="none"/>
                <w:lang w:val="en-US" w:eastAsia="zh-CN"/>
              </w:rPr>
            </w:pPr>
            <w:r>
              <w:rPr>
                <w:rFonts w:hint="eastAsia" w:ascii="宋体" w:cs="宋体"/>
                <w:color w:val="000000"/>
                <w:sz w:val="20"/>
                <w:szCs w:val="20"/>
                <w:highlight w:val="none"/>
                <w:lang w:val="en-US" w:eastAsia="zh-CN"/>
              </w:rPr>
              <w:t>35205</w:t>
            </w:r>
          </w:p>
        </w:tc>
      </w:tr>
      <w:tr>
        <w:trPr>
          <w:trHeight w:val="458" w:hRule="atLeast"/>
          <w:jc w:val="center"/>
        </w:trPr>
        <w:tc>
          <w:tcPr>
            <w:tcW w:w="104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215</w:t>
            </w:r>
          </w:p>
        </w:tc>
        <w:tc>
          <w:tcPr>
            <w:tcW w:w="2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rPr>
              <w:t>资源勘探信息等支出</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135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135 </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100.00 </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eastAsia="宋体" w:cs="宋体"/>
                <w:color w:val="000000"/>
                <w:sz w:val="20"/>
                <w:szCs w:val="20"/>
                <w:highlight w:val="none"/>
                <w:lang w:val="en-US" w:eastAsia="zh-CN"/>
              </w:rPr>
            </w:pPr>
            <w:r>
              <w:rPr>
                <w:rFonts w:hint="eastAsia" w:ascii="宋体" w:cs="宋体"/>
                <w:color w:val="000000"/>
                <w:sz w:val="20"/>
                <w:szCs w:val="20"/>
                <w:highlight w:val="none"/>
                <w:lang w:val="en-US" w:eastAsia="zh-CN"/>
              </w:rPr>
              <w:t>135</w:t>
            </w:r>
          </w:p>
        </w:tc>
      </w:tr>
      <w:tr>
        <w:tblPrEx>
          <w:tblCellMar>
            <w:top w:w="0" w:type="dxa"/>
            <w:left w:w="108" w:type="dxa"/>
            <w:bottom w:w="0" w:type="dxa"/>
            <w:right w:w="108" w:type="dxa"/>
          </w:tblCellMar>
        </w:tblPrEx>
        <w:trPr>
          <w:trHeight w:val="458" w:hRule="atLeast"/>
          <w:jc w:val="center"/>
        </w:trPr>
        <w:tc>
          <w:tcPr>
            <w:tcW w:w="104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宋体" w:cs="宋体"/>
                <w:color w:val="000000"/>
                <w:sz w:val="20"/>
                <w:szCs w:val="20"/>
              </w:rPr>
            </w:pPr>
            <w:r>
              <w:rPr>
                <w:rFonts w:hint="eastAsia" w:ascii="宋体" w:hAnsi="宋体" w:cs="宋体"/>
                <w:color w:val="000000"/>
                <w:kern w:val="0"/>
                <w:sz w:val="20"/>
                <w:szCs w:val="20"/>
                <w:lang w:eastAsia="zh-CN"/>
              </w:rPr>
              <w:t>5</w:t>
            </w:r>
            <w:r>
              <w:rPr>
                <w:rFonts w:hint="eastAsia" w:ascii="宋体" w:hAnsi="宋体" w:cs="宋体"/>
                <w:color w:val="000000"/>
                <w:kern w:val="0"/>
                <w:sz w:val="20"/>
                <w:szCs w:val="20"/>
                <w:lang w:val="en-US" w:eastAsia="zh-CN"/>
              </w:rPr>
              <w:t>2</w:t>
            </w:r>
            <w:r>
              <w:rPr>
                <w:rFonts w:ascii="宋体" w:hAnsi="宋体" w:cs="宋体"/>
                <w:color w:val="000000"/>
                <w:kern w:val="0"/>
                <w:sz w:val="20"/>
                <w:szCs w:val="20"/>
              </w:rPr>
              <w:t>216</w:t>
            </w:r>
          </w:p>
        </w:tc>
        <w:tc>
          <w:tcPr>
            <w:tcW w:w="2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rPr>
              <w:t>商业服务业等支出</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1774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1786 </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100.68 </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eastAsia="宋体" w:cs="宋体"/>
                <w:color w:val="000000"/>
                <w:sz w:val="20"/>
                <w:szCs w:val="20"/>
                <w:highlight w:val="none"/>
                <w:lang w:val="en-US" w:eastAsia="zh-CN"/>
              </w:rPr>
            </w:pPr>
            <w:r>
              <w:rPr>
                <w:rFonts w:hint="eastAsia" w:ascii="宋体" w:cs="宋体"/>
                <w:color w:val="000000"/>
                <w:sz w:val="20"/>
                <w:szCs w:val="20"/>
                <w:highlight w:val="none"/>
                <w:lang w:val="en-US" w:eastAsia="zh-CN"/>
              </w:rPr>
              <w:t>1786</w:t>
            </w:r>
          </w:p>
        </w:tc>
      </w:tr>
      <w:tr>
        <w:tblPrEx>
          <w:tblCellMar>
            <w:top w:w="0" w:type="dxa"/>
            <w:left w:w="108" w:type="dxa"/>
            <w:bottom w:w="0" w:type="dxa"/>
            <w:right w:w="108" w:type="dxa"/>
          </w:tblCellMar>
        </w:tblPrEx>
        <w:trPr>
          <w:trHeight w:val="458" w:hRule="atLeast"/>
          <w:jc w:val="center"/>
        </w:trPr>
        <w:tc>
          <w:tcPr>
            <w:tcW w:w="104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220</w:t>
            </w:r>
          </w:p>
        </w:tc>
        <w:tc>
          <w:tcPr>
            <w:tcW w:w="2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rPr>
              <w:t>自然资源海洋气象等支出</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3771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3791 </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100.53 </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eastAsia="宋体" w:cs="宋体"/>
                <w:color w:val="000000"/>
                <w:sz w:val="20"/>
                <w:szCs w:val="20"/>
                <w:highlight w:val="none"/>
                <w:lang w:val="en-US" w:eastAsia="zh-CN"/>
              </w:rPr>
            </w:pPr>
            <w:r>
              <w:rPr>
                <w:rFonts w:hint="eastAsia" w:ascii="宋体" w:cs="宋体"/>
                <w:color w:val="000000"/>
                <w:sz w:val="20"/>
                <w:szCs w:val="20"/>
                <w:highlight w:val="none"/>
                <w:lang w:val="en-US" w:eastAsia="zh-CN"/>
              </w:rPr>
              <w:t>3791</w:t>
            </w:r>
          </w:p>
        </w:tc>
      </w:tr>
      <w:tr>
        <w:tblPrEx>
          <w:tblCellMar>
            <w:top w:w="0" w:type="dxa"/>
            <w:left w:w="108" w:type="dxa"/>
            <w:bottom w:w="0" w:type="dxa"/>
            <w:right w:w="108" w:type="dxa"/>
          </w:tblCellMar>
        </w:tblPrEx>
        <w:trPr>
          <w:trHeight w:val="458" w:hRule="atLeast"/>
          <w:jc w:val="center"/>
        </w:trPr>
        <w:tc>
          <w:tcPr>
            <w:tcW w:w="104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221</w:t>
            </w:r>
          </w:p>
        </w:tc>
        <w:tc>
          <w:tcPr>
            <w:tcW w:w="2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rPr>
              <w:t>住房保障支出</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10852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10150 </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93.53 </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eastAsia="宋体" w:cs="宋体"/>
                <w:color w:val="000000"/>
                <w:sz w:val="20"/>
                <w:szCs w:val="20"/>
                <w:highlight w:val="none"/>
                <w:lang w:val="en-US" w:eastAsia="zh-CN"/>
              </w:rPr>
            </w:pPr>
            <w:r>
              <w:rPr>
                <w:rFonts w:hint="eastAsia" w:ascii="宋体" w:cs="宋体"/>
                <w:color w:val="000000"/>
                <w:sz w:val="20"/>
                <w:szCs w:val="20"/>
                <w:highlight w:val="none"/>
                <w:lang w:val="en-US" w:eastAsia="zh-CN"/>
              </w:rPr>
              <w:t>10150</w:t>
            </w:r>
          </w:p>
        </w:tc>
      </w:tr>
      <w:tr>
        <w:trPr>
          <w:trHeight w:val="458" w:hRule="atLeast"/>
          <w:jc w:val="center"/>
        </w:trPr>
        <w:tc>
          <w:tcPr>
            <w:tcW w:w="104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222</w:t>
            </w:r>
          </w:p>
        </w:tc>
        <w:tc>
          <w:tcPr>
            <w:tcW w:w="2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rPr>
              <w:t>粮油物资储备支出</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75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75 </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100.00 </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eastAsia="宋体" w:cs="宋体"/>
                <w:color w:val="000000"/>
                <w:sz w:val="20"/>
                <w:szCs w:val="20"/>
                <w:highlight w:val="none"/>
                <w:lang w:val="en-US" w:eastAsia="zh-CN"/>
              </w:rPr>
            </w:pPr>
            <w:r>
              <w:rPr>
                <w:rFonts w:hint="eastAsia" w:ascii="宋体" w:cs="宋体"/>
                <w:color w:val="000000"/>
                <w:sz w:val="20"/>
                <w:szCs w:val="20"/>
                <w:highlight w:val="none"/>
                <w:lang w:val="en-US" w:eastAsia="zh-CN"/>
              </w:rPr>
              <w:t>75</w:t>
            </w:r>
          </w:p>
        </w:tc>
      </w:tr>
      <w:tr>
        <w:tblPrEx>
          <w:tblCellMar>
            <w:top w:w="0" w:type="dxa"/>
            <w:left w:w="108" w:type="dxa"/>
            <w:bottom w:w="0" w:type="dxa"/>
            <w:right w:w="108" w:type="dxa"/>
          </w:tblCellMar>
        </w:tblPrEx>
        <w:trPr>
          <w:trHeight w:val="458" w:hRule="atLeast"/>
          <w:jc w:val="center"/>
        </w:trPr>
        <w:tc>
          <w:tcPr>
            <w:tcW w:w="104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224</w:t>
            </w:r>
          </w:p>
        </w:tc>
        <w:tc>
          <w:tcPr>
            <w:tcW w:w="2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rPr>
              <w:t>灾害防治及应急管理支出</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15128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15387 </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101.71 </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宋体" w:cs="宋体"/>
                <w:color w:val="000000"/>
                <w:sz w:val="20"/>
                <w:szCs w:val="20"/>
                <w:highlight w:val="none"/>
              </w:rPr>
            </w:pPr>
            <w:r>
              <w:rPr>
                <w:rFonts w:hint="eastAsia" w:ascii="宋体" w:hAnsi="宋体" w:cs="宋体"/>
                <w:color w:val="000000"/>
                <w:kern w:val="0"/>
                <w:sz w:val="20"/>
                <w:szCs w:val="20"/>
                <w:highlight w:val="none"/>
                <w:lang w:val="en-US" w:eastAsia="zh-CN"/>
              </w:rPr>
              <w:t>15387</w:t>
            </w:r>
            <w:r>
              <w:rPr>
                <w:rFonts w:ascii="宋体" w:hAnsi="宋体" w:cs="宋体"/>
                <w:color w:val="000000"/>
                <w:kern w:val="0"/>
                <w:sz w:val="20"/>
                <w:szCs w:val="20"/>
                <w:highlight w:val="none"/>
              </w:rPr>
              <w:t xml:space="preserve"> </w:t>
            </w:r>
          </w:p>
        </w:tc>
      </w:tr>
      <w:tr>
        <w:tblPrEx>
          <w:tblCellMar>
            <w:top w:w="0" w:type="dxa"/>
            <w:left w:w="108" w:type="dxa"/>
            <w:bottom w:w="0" w:type="dxa"/>
            <w:right w:w="108" w:type="dxa"/>
          </w:tblCellMar>
        </w:tblPrEx>
        <w:trPr>
          <w:trHeight w:val="458" w:hRule="atLeast"/>
          <w:jc w:val="center"/>
        </w:trPr>
        <w:tc>
          <w:tcPr>
            <w:tcW w:w="104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227</w:t>
            </w:r>
          </w:p>
        </w:tc>
        <w:tc>
          <w:tcPr>
            <w:tcW w:w="2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rPr>
              <w:t>预备费</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3000 </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cs="宋体"/>
                <w:color w:val="000000"/>
                <w:kern w:val="0"/>
                <w:sz w:val="20"/>
                <w:szCs w:val="20"/>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0.00 </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spacing w:line="280" w:lineRule="exact"/>
              <w:jc w:val="center"/>
              <w:rPr>
                <w:rFonts w:hint="default" w:ascii="宋体" w:eastAsia="宋体" w:cs="宋体"/>
                <w:color w:val="000000"/>
                <w:sz w:val="20"/>
                <w:szCs w:val="20"/>
                <w:highlight w:val="none"/>
                <w:lang w:val="en-US" w:eastAsia="zh-CN"/>
              </w:rPr>
            </w:pPr>
            <w:r>
              <w:rPr>
                <w:rFonts w:hint="eastAsia" w:ascii="宋体" w:cs="宋体"/>
                <w:color w:val="000000"/>
                <w:sz w:val="20"/>
                <w:szCs w:val="20"/>
                <w:highlight w:val="none"/>
                <w:lang w:val="en-US" w:eastAsia="zh-CN"/>
              </w:rPr>
              <w:t>0</w:t>
            </w:r>
          </w:p>
        </w:tc>
      </w:tr>
      <w:tr>
        <w:tblPrEx>
          <w:tblCellMar>
            <w:top w:w="0" w:type="dxa"/>
            <w:left w:w="108" w:type="dxa"/>
            <w:bottom w:w="0" w:type="dxa"/>
            <w:right w:w="108" w:type="dxa"/>
          </w:tblCellMar>
        </w:tblPrEx>
        <w:trPr>
          <w:trHeight w:val="458" w:hRule="atLeast"/>
          <w:jc w:val="center"/>
        </w:trPr>
        <w:tc>
          <w:tcPr>
            <w:tcW w:w="104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229</w:t>
            </w:r>
          </w:p>
        </w:tc>
        <w:tc>
          <w:tcPr>
            <w:tcW w:w="2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rPr>
              <w:t>其他支出</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83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31</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59.04</w:t>
            </w:r>
            <w:r>
              <w:rPr>
                <w:rFonts w:hint="eastAsia" w:ascii="宋体" w:hAnsi="宋体" w:eastAsia="宋体" w:cs="宋体"/>
                <w:i w:val="0"/>
                <w:color w:val="000000"/>
                <w:kern w:val="0"/>
                <w:sz w:val="20"/>
                <w:szCs w:val="20"/>
                <w:u w:val="none"/>
                <w:lang w:val="en-US" w:eastAsia="zh-CN" w:bidi="ar"/>
              </w:rPr>
              <w:t xml:space="preserve"> </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default" w:ascii="宋体" w:eastAsia="宋体" w:cs="宋体"/>
                <w:color w:val="000000"/>
                <w:sz w:val="20"/>
                <w:szCs w:val="20"/>
                <w:highlight w:val="none"/>
                <w:lang w:val="en-US" w:eastAsia="zh-CN"/>
              </w:rPr>
            </w:pPr>
            <w:r>
              <w:rPr>
                <w:rFonts w:hint="eastAsia" w:ascii="宋体" w:cs="宋体"/>
                <w:color w:val="000000"/>
                <w:sz w:val="20"/>
                <w:szCs w:val="20"/>
                <w:highlight w:val="none"/>
                <w:lang w:val="en-US" w:eastAsia="zh-CN"/>
              </w:rPr>
              <w:t>132</w:t>
            </w:r>
          </w:p>
        </w:tc>
      </w:tr>
      <w:tr>
        <w:trPr>
          <w:trHeight w:val="458" w:hRule="atLeast"/>
          <w:jc w:val="center"/>
        </w:trPr>
        <w:tc>
          <w:tcPr>
            <w:tcW w:w="104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232</w:t>
            </w:r>
          </w:p>
        </w:tc>
        <w:tc>
          <w:tcPr>
            <w:tcW w:w="2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rPr>
              <w:t>债务付息支出</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10569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10569 </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100.00 </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default" w:ascii="宋体" w:eastAsia="宋体" w:cs="宋体"/>
                <w:color w:val="000000"/>
                <w:sz w:val="20"/>
                <w:szCs w:val="20"/>
                <w:highlight w:val="none"/>
                <w:lang w:val="en-US" w:eastAsia="zh-CN"/>
              </w:rPr>
            </w:pPr>
            <w:r>
              <w:rPr>
                <w:rFonts w:ascii="宋体" w:hAnsi="宋体" w:cs="宋体"/>
                <w:color w:val="000000"/>
                <w:kern w:val="0"/>
                <w:sz w:val="20"/>
                <w:szCs w:val="20"/>
                <w:highlight w:val="none"/>
              </w:rPr>
              <w:t xml:space="preserve"> </w:t>
            </w:r>
            <w:r>
              <w:rPr>
                <w:rFonts w:hint="eastAsia" w:ascii="宋体" w:hAnsi="宋体" w:cs="宋体"/>
                <w:color w:val="000000"/>
                <w:kern w:val="0"/>
                <w:sz w:val="20"/>
                <w:szCs w:val="20"/>
                <w:highlight w:val="none"/>
                <w:lang w:val="en-US" w:eastAsia="zh-CN"/>
              </w:rPr>
              <w:t>10569</w:t>
            </w:r>
          </w:p>
        </w:tc>
      </w:tr>
      <w:tr>
        <w:trPr>
          <w:trHeight w:val="458" w:hRule="atLeast"/>
          <w:jc w:val="center"/>
        </w:trPr>
        <w:tc>
          <w:tcPr>
            <w:tcW w:w="104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宋体" w:cs="宋体"/>
                <w:color w:val="000000"/>
                <w:sz w:val="20"/>
                <w:szCs w:val="20"/>
              </w:rPr>
            </w:pPr>
            <w:r>
              <w:rPr>
                <w:rFonts w:ascii="宋体" w:hAnsi="宋体" w:cs="宋体"/>
                <w:color w:val="000000"/>
                <w:kern w:val="0"/>
                <w:sz w:val="20"/>
                <w:szCs w:val="20"/>
              </w:rPr>
              <w:t>233</w:t>
            </w:r>
          </w:p>
        </w:tc>
        <w:tc>
          <w:tcPr>
            <w:tcW w:w="258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ascii="宋体" w:cs="宋体"/>
                <w:color w:val="000000"/>
                <w:sz w:val="20"/>
                <w:szCs w:val="20"/>
              </w:rPr>
            </w:pPr>
            <w:r>
              <w:rPr>
                <w:rFonts w:hint="eastAsia" w:ascii="宋体" w:hAnsi="宋体" w:cs="宋体"/>
                <w:color w:val="000000"/>
                <w:kern w:val="0"/>
                <w:sz w:val="20"/>
                <w:szCs w:val="20"/>
              </w:rPr>
              <w:t>债务发行费用支出</w:t>
            </w:r>
          </w:p>
        </w:tc>
        <w:tc>
          <w:tcPr>
            <w:tcW w:w="138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28 </w:t>
            </w:r>
          </w:p>
        </w:tc>
        <w:tc>
          <w:tcPr>
            <w:tcW w:w="127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28 </w:t>
            </w:r>
          </w:p>
        </w:tc>
        <w:tc>
          <w:tcPr>
            <w:tcW w:w="12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100.00 </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default" w:ascii="宋体" w:eastAsia="宋体" w:cs="宋体"/>
                <w:color w:val="000000"/>
                <w:sz w:val="20"/>
                <w:szCs w:val="20"/>
                <w:highlight w:val="none"/>
                <w:lang w:val="en-US" w:eastAsia="zh-CN"/>
              </w:rPr>
            </w:pPr>
            <w:r>
              <w:rPr>
                <w:rFonts w:hint="eastAsia" w:ascii="宋体" w:cs="宋体"/>
                <w:color w:val="000000"/>
                <w:sz w:val="20"/>
                <w:szCs w:val="20"/>
                <w:highlight w:val="none"/>
                <w:lang w:val="en-US" w:eastAsia="zh-CN"/>
              </w:rPr>
              <w:t>28</w:t>
            </w:r>
          </w:p>
        </w:tc>
      </w:tr>
    </w:tbl>
    <w:p/>
    <w:p>
      <w:pPr>
        <w:pStyle w:val="7"/>
        <w:jc w:val="both"/>
        <w:rPr>
          <w:rFonts w:ascii="仿宋_GB2312" w:hAnsi="宋体" w:eastAsia="仿宋_GB2312" w:cs="仿宋_GB2312"/>
          <w:color w:val="000000"/>
          <w:szCs w:val="21"/>
        </w:rPr>
      </w:pPr>
      <w:r>
        <w:rPr>
          <w:rFonts w:hint="eastAsia" w:ascii="仿宋_GB2312" w:hAnsi="宋体" w:eastAsia="仿宋_GB2312" w:cs="仿宋_GB2312"/>
          <w:color w:val="000000"/>
          <w:szCs w:val="21"/>
        </w:rPr>
        <w:t>附表</w:t>
      </w:r>
      <w:r>
        <w:rPr>
          <w:rFonts w:ascii="仿宋_GB2312" w:hAnsi="宋体" w:eastAsia="仿宋_GB2312" w:cs="仿宋_GB2312"/>
          <w:color w:val="000000"/>
          <w:szCs w:val="21"/>
        </w:rPr>
        <w:t>1-3</w:t>
      </w:r>
    </w:p>
    <w:p>
      <w:pPr>
        <w:jc w:val="center"/>
      </w:pPr>
      <w:r>
        <w:rPr>
          <w:rFonts w:ascii="黑体" w:hAnsi="宋体" w:eastAsia="黑体" w:cs="黑体"/>
          <w:b/>
          <w:bCs/>
          <w:color w:val="000000"/>
          <w:kern w:val="0"/>
          <w:sz w:val="32"/>
          <w:szCs w:val="32"/>
        </w:rPr>
        <w:t>202</w:t>
      </w:r>
      <w:r>
        <w:rPr>
          <w:rFonts w:hint="eastAsia" w:ascii="黑体" w:hAnsi="宋体" w:eastAsia="黑体" w:cs="黑体"/>
          <w:b/>
          <w:bCs/>
          <w:color w:val="000000"/>
          <w:kern w:val="0"/>
          <w:sz w:val="32"/>
          <w:szCs w:val="32"/>
          <w:lang w:val="en-US" w:eastAsia="zh-CN"/>
        </w:rPr>
        <w:t>4</w:t>
      </w:r>
      <w:r>
        <w:rPr>
          <w:rFonts w:hint="eastAsia" w:ascii="黑体" w:hAnsi="宋体" w:eastAsia="黑体" w:cs="黑体"/>
          <w:b/>
          <w:bCs/>
          <w:color w:val="000000"/>
          <w:kern w:val="0"/>
          <w:sz w:val="32"/>
          <w:szCs w:val="32"/>
        </w:rPr>
        <w:t>年政府性基金收入预算完成情况表</w:t>
      </w:r>
    </w:p>
    <w:tbl>
      <w:tblPr>
        <w:tblStyle w:val="8"/>
        <w:tblW w:w="8898" w:type="dxa"/>
        <w:jc w:val="center"/>
        <w:tblLayout w:type="fixed"/>
        <w:tblCellMar>
          <w:top w:w="0" w:type="dxa"/>
          <w:left w:w="108" w:type="dxa"/>
          <w:bottom w:w="0" w:type="dxa"/>
          <w:right w:w="108" w:type="dxa"/>
        </w:tblCellMar>
      </w:tblPr>
      <w:tblGrid>
        <w:gridCol w:w="3559"/>
        <w:gridCol w:w="1768"/>
        <w:gridCol w:w="1711"/>
        <w:gridCol w:w="1732"/>
        <w:gridCol w:w="128"/>
      </w:tblGrid>
      <w:tr>
        <w:tblPrEx>
          <w:tblCellMar>
            <w:top w:w="0" w:type="dxa"/>
            <w:left w:w="108" w:type="dxa"/>
            <w:bottom w:w="0" w:type="dxa"/>
            <w:right w:w="108" w:type="dxa"/>
          </w:tblCellMar>
        </w:tblPrEx>
        <w:trPr>
          <w:gridAfter w:val="1"/>
          <w:wAfter w:w="128" w:type="dxa"/>
          <w:trHeight w:val="345" w:hRule="atLeast"/>
          <w:jc w:val="center"/>
        </w:trPr>
        <w:tc>
          <w:tcPr>
            <w:tcW w:w="3559" w:type="dxa"/>
            <w:tcBorders>
              <w:top w:val="nil"/>
              <w:left w:val="nil"/>
              <w:bottom w:val="nil"/>
              <w:right w:val="nil"/>
            </w:tcBorders>
            <w:shd w:val="clear" w:color="auto" w:fill="FFFFFF"/>
            <w:noWrap/>
            <w:vAlign w:val="center"/>
          </w:tcPr>
          <w:p>
            <w:pPr>
              <w:rPr>
                <w:rFonts w:ascii="宋体" w:cs="宋体"/>
                <w:color w:val="000000"/>
                <w:sz w:val="22"/>
                <w:szCs w:val="22"/>
              </w:rPr>
            </w:pPr>
          </w:p>
        </w:tc>
        <w:tc>
          <w:tcPr>
            <w:tcW w:w="1768" w:type="dxa"/>
            <w:tcBorders>
              <w:top w:val="nil"/>
              <w:left w:val="nil"/>
              <w:bottom w:val="nil"/>
              <w:right w:val="nil"/>
            </w:tcBorders>
            <w:shd w:val="clear" w:color="auto" w:fill="FFFFFF"/>
            <w:noWrap/>
            <w:vAlign w:val="center"/>
          </w:tcPr>
          <w:p>
            <w:pPr>
              <w:rPr>
                <w:rFonts w:ascii="宋体" w:cs="宋体"/>
                <w:color w:val="000000"/>
                <w:sz w:val="22"/>
                <w:szCs w:val="22"/>
              </w:rPr>
            </w:pPr>
          </w:p>
        </w:tc>
        <w:tc>
          <w:tcPr>
            <w:tcW w:w="3443" w:type="dxa"/>
            <w:gridSpan w:val="2"/>
            <w:tcBorders>
              <w:top w:val="nil"/>
              <w:left w:val="nil"/>
              <w:bottom w:val="single" w:color="000000" w:sz="4" w:space="0"/>
              <w:right w:val="nil"/>
            </w:tcBorders>
            <w:shd w:val="clear" w:color="auto" w:fill="FFFFFF"/>
            <w:noWrap/>
            <w:vAlign w:val="bottom"/>
          </w:tcPr>
          <w:p>
            <w:pPr>
              <w:widowControl/>
              <w:jc w:val="center"/>
              <w:textAlignment w:val="bottom"/>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837" w:hRule="atLeast"/>
          <w:jc w:val="center"/>
        </w:trPr>
        <w:tc>
          <w:tcPr>
            <w:tcW w:w="3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预算科目</w:t>
            </w: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调整预算数</w:t>
            </w:r>
          </w:p>
        </w:tc>
        <w:tc>
          <w:tcPr>
            <w:tcW w:w="171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实际完成数</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占调整预算（</w:t>
            </w:r>
            <w:r>
              <w:rPr>
                <w:rFonts w:ascii="宋体" w:hAnsi="宋体" w:cs="宋体"/>
                <w:b/>
                <w:bCs/>
                <w:color w:val="000000"/>
                <w:kern w:val="0"/>
                <w:sz w:val="20"/>
                <w:szCs w:val="20"/>
              </w:rPr>
              <w:t>%)</w:t>
            </w:r>
          </w:p>
        </w:tc>
      </w:tr>
      <w:tr>
        <w:tblPrEx>
          <w:tblCellMar>
            <w:top w:w="0" w:type="dxa"/>
            <w:left w:w="108" w:type="dxa"/>
            <w:bottom w:w="0" w:type="dxa"/>
            <w:right w:w="108" w:type="dxa"/>
          </w:tblCellMar>
        </w:tblPrEx>
        <w:trPr>
          <w:trHeight w:val="837" w:hRule="atLeast"/>
          <w:jc w:val="center"/>
        </w:trPr>
        <w:tc>
          <w:tcPr>
            <w:tcW w:w="3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cs="宋体"/>
                <w:b/>
                <w:bCs/>
                <w:color w:val="000000"/>
                <w:sz w:val="20"/>
                <w:szCs w:val="20"/>
              </w:rPr>
            </w:pPr>
            <w:r>
              <w:rPr>
                <w:rFonts w:ascii="宋体" w:hAnsi="宋体" w:cs="宋体"/>
                <w:b/>
                <w:bCs/>
                <w:color w:val="000000"/>
                <w:kern w:val="0"/>
                <w:sz w:val="20"/>
                <w:szCs w:val="20"/>
              </w:rPr>
              <w:t>1030146</w:t>
            </w:r>
            <w:r>
              <w:rPr>
                <w:rFonts w:hint="eastAsia" w:ascii="宋体" w:hAnsi="宋体" w:cs="宋体"/>
                <w:b/>
                <w:bCs/>
                <w:color w:val="000000"/>
                <w:kern w:val="0"/>
                <w:sz w:val="20"/>
                <w:szCs w:val="20"/>
              </w:rPr>
              <w:t>国有土地收益基金收入</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3706</w:t>
            </w:r>
          </w:p>
        </w:tc>
        <w:tc>
          <w:tcPr>
            <w:tcW w:w="1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3707</w:t>
            </w:r>
          </w:p>
        </w:tc>
        <w:tc>
          <w:tcPr>
            <w:tcW w:w="18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100.03 </w:t>
            </w:r>
          </w:p>
        </w:tc>
      </w:tr>
      <w:tr>
        <w:tblPrEx>
          <w:tblCellMar>
            <w:top w:w="0" w:type="dxa"/>
            <w:left w:w="108" w:type="dxa"/>
            <w:bottom w:w="0" w:type="dxa"/>
            <w:right w:w="108" w:type="dxa"/>
          </w:tblCellMar>
        </w:tblPrEx>
        <w:trPr>
          <w:trHeight w:val="837" w:hRule="atLeast"/>
          <w:jc w:val="center"/>
        </w:trPr>
        <w:tc>
          <w:tcPr>
            <w:tcW w:w="3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cs="宋体"/>
                <w:b/>
                <w:bCs/>
                <w:color w:val="000000"/>
                <w:sz w:val="20"/>
                <w:szCs w:val="20"/>
              </w:rPr>
            </w:pPr>
            <w:r>
              <w:rPr>
                <w:rFonts w:ascii="宋体" w:hAnsi="宋体" w:cs="宋体"/>
                <w:b/>
                <w:bCs/>
                <w:color w:val="000000"/>
                <w:kern w:val="0"/>
                <w:sz w:val="20"/>
                <w:szCs w:val="20"/>
              </w:rPr>
              <w:t>1030147</w:t>
            </w:r>
            <w:r>
              <w:rPr>
                <w:rFonts w:hint="eastAsia" w:ascii="宋体" w:hAnsi="宋体" w:cs="宋体"/>
                <w:b/>
                <w:bCs/>
                <w:color w:val="000000"/>
                <w:kern w:val="0"/>
                <w:sz w:val="20"/>
                <w:szCs w:val="20"/>
              </w:rPr>
              <w:t>农业土地开发基金收入</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125</w:t>
            </w:r>
          </w:p>
        </w:tc>
        <w:tc>
          <w:tcPr>
            <w:tcW w:w="1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125</w:t>
            </w:r>
          </w:p>
        </w:tc>
        <w:tc>
          <w:tcPr>
            <w:tcW w:w="18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100.00 </w:t>
            </w:r>
          </w:p>
        </w:tc>
      </w:tr>
      <w:tr>
        <w:tblPrEx>
          <w:tblCellMar>
            <w:top w:w="0" w:type="dxa"/>
            <w:left w:w="108" w:type="dxa"/>
            <w:bottom w:w="0" w:type="dxa"/>
            <w:right w:w="108" w:type="dxa"/>
          </w:tblCellMar>
        </w:tblPrEx>
        <w:trPr>
          <w:trHeight w:val="837" w:hRule="atLeast"/>
          <w:jc w:val="center"/>
        </w:trPr>
        <w:tc>
          <w:tcPr>
            <w:tcW w:w="3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cs="宋体"/>
                <w:b/>
                <w:bCs/>
                <w:color w:val="000000"/>
                <w:sz w:val="20"/>
                <w:szCs w:val="20"/>
              </w:rPr>
            </w:pPr>
            <w:r>
              <w:rPr>
                <w:rFonts w:ascii="宋体" w:hAnsi="宋体" w:cs="宋体"/>
                <w:b/>
                <w:bCs/>
                <w:color w:val="000000"/>
                <w:kern w:val="0"/>
                <w:sz w:val="20"/>
                <w:szCs w:val="20"/>
              </w:rPr>
              <w:t>1030148</w:t>
            </w:r>
            <w:r>
              <w:rPr>
                <w:rFonts w:hint="eastAsia" w:ascii="宋体" w:hAnsi="宋体" w:cs="宋体"/>
                <w:b/>
                <w:bCs/>
                <w:color w:val="000000"/>
                <w:kern w:val="0"/>
                <w:sz w:val="20"/>
                <w:szCs w:val="20"/>
              </w:rPr>
              <w:t>国有土地使用权出让金收入</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95039</w:t>
            </w:r>
          </w:p>
        </w:tc>
        <w:tc>
          <w:tcPr>
            <w:tcW w:w="1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cs="宋体"/>
                <w:color w:val="000000"/>
                <w:sz w:val="20"/>
                <w:szCs w:val="20"/>
                <w:lang w:val="en-US"/>
              </w:rPr>
            </w:pPr>
            <w:r>
              <w:rPr>
                <w:rFonts w:hint="eastAsia" w:ascii="宋体" w:hAnsi="宋体" w:eastAsia="宋体" w:cs="宋体"/>
                <w:i w:val="0"/>
                <w:color w:val="000000"/>
                <w:kern w:val="0"/>
                <w:sz w:val="20"/>
                <w:szCs w:val="20"/>
                <w:u w:val="none"/>
                <w:lang w:val="en-US" w:eastAsia="zh-CN" w:bidi="ar"/>
              </w:rPr>
              <w:t>950</w:t>
            </w:r>
            <w:r>
              <w:rPr>
                <w:rFonts w:hint="eastAsia" w:ascii="宋体" w:hAnsi="宋体" w:cs="宋体"/>
                <w:i w:val="0"/>
                <w:color w:val="000000"/>
                <w:kern w:val="0"/>
                <w:sz w:val="20"/>
                <w:szCs w:val="20"/>
                <w:u w:val="none"/>
                <w:lang w:val="en-US" w:eastAsia="zh-CN" w:bidi="ar"/>
              </w:rPr>
              <w:t>20</w:t>
            </w:r>
          </w:p>
        </w:tc>
        <w:tc>
          <w:tcPr>
            <w:tcW w:w="18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99.98 </w:t>
            </w:r>
          </w:p>
        </w:tc>
      </w:tr>
      <w:tr>
        <w:tblPrEx>
          <w:tblCellMar>
            <w:top w:w="0" w:type="dxa"/>
            <w:left w:w="108" w:type="dxa"/>
            <w:bottom w:w="0" w:type="dxa"/>
            <w:right w:w="108" w:type="dxa"/>
          </w:tblCellMar>
        </w:tblPrEx>
        <w:trPr>
          <w:trHeight w:val="837" w:hRule="atLeast"/>
          <w:jc w:val="center"/>
        </w:trPr>
        <w:tc>
          <w:tcPr>
            <w:tcW w:w="3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cs="宋体"/>
                <w:b/>
                <w:bCs/>
                <w:color w:val="000000"/>
                <w:sz w:val="20"/>
                <w:szCs w:val="20"/>
              </w:rPr>
            </w:pPr>
            <w:r>
              <w:rPr>
                <w:rFonts w:ascii="宋体" w:hAnsi="宋体" w:cs="宋体"/>
                <w:b/>
                <w:bCs/>
                <w:color w:val="000000"/>
                <w:kern w:val="0"/>
                <w:sz w:val="20"/>
                <w:szCs w:val="20"/>
              </w:rPr>
              <w:t>1030155</w:t>
            </w:r>
            <w:r>
              <w:rPr>
                <w:rFonts w:hint="eastAsia" w:ascii="宋体" w:hAnsi="宋体" w:cs="宋体"/>
                <w:b/>
                <w:bCs/>
                <w:color w:val="000000"/>
                <w:kern w:val="0"/>
                <w:sz w:val="20"/>
                <w:szCs w:val="20"/>
              </w:rPr>
              <w:t>彩票公益金收入</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479</w:t>
            </w:r>
          </w:p>
        </w:tc>
        <w:tc>
          <w:tcPr>
            <w:tcW w:w="1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479</w:t>
            </w:r>
          </w:p>
        </w:tc>
        <w:tc>
          <w:tcPr>
            <w:tcW w:w="18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100.00 </w:t>
            </w:r>
          </w:p>
        </w:tc>
      </w:tr>
      <w:tr>
        <w:tblPrEx>
          <w:tblCellMar>
            <w:top w:w="0" w:type="dxa"/>
            <w:left w:w="108" w:type="dxa"/>
            <w:bottom w:w="0" w:type="dxa"/>
            <w:right w:w="108" w:type="dxa"/>
          </w:tblCellMar>
        </w:tblPrEx>
        <w:trPr>
          <w:trHeight w:val="837" w:hRule="atLeast"/>
          <w:jc w:val="center"/>
        </w:trPr>
        <w:tc>
          <w:tcPr>
            <w:tcW w:w="3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cs="宋体"/>
                <w:b/>
                <w:bCs/>
                <w:color w:val="000000"/>
                <w:sz w:val="20"/>
                <w:szCs w:val="20"/>
              </w:rPr>
            </w:pPr>
            <w:r>
              <w:rPr>
                <w:rFonts w:ascii="宋体" w:hAnsi="宋体" w:cs="宋体"/>
                <w:b/>
                <w:bCs/>
                <w:color w:val="000000"/>
                <w:kern w:val="0"/>
                <w:sz w:val="20"/>
                <w:szCs w:val="20"/>
              </w:rPr>
              <w:t>1030156</w:t>
            </w:r>
            <w:r>
              <w:rPr>
                <w:rFonts w:hint="eastAsia" w:ascii="宋体" w:hAnsi="宋体" w:cs="宋体"/>
                <w:b/>
                <w:bCs/>
                <w:color w:val="000000"/>
                <w:kern w:val="0"/>
                <w:sz w:val="20"/>
                <w:szCs w:val="20"/>
              </w:rPr>
              <w:t>城市建设配套费</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709</w:t>
            </w:r>
          </w:p>
        </w:tc>
        <w:tc>
          <w:tcPr>
            <w:tcW w:w="1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709</w:t>
            </w:r>
          </w:p>
        </w:tc>
        <w:tc>
          <w:tcPr>
            <w:tcW w:w="18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100.00 </w:t>
            </w:r>
          </w:p>
        </w:tc>
      </w:tr>
      <w:tr>
        <w:tblPrEx>
          <w:tblCellMar>
            <w:top w:w="0" w:type="dxa"/>
            <w:left w:w="108" w:type="dxa"/>
            <w:bottom w:w="0" w:type="dxa"/>
            <w:right w:w="108" w:type="dxa"/>
          </w:tblCellMar>
        </w:tblPrEx>
        <w:trPr>
          <w:trHeight w:val="837" w:hRule="atLeast"/>
          <w:jc w:val="center"/>
        </w:trPr>
        <w:tc>
          <w:tcPr>
            <w:tcW w:w="3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cs="宋体"/>
                <w:b/>
                <w:bCs/>
                <w:color w:val="000000"/>
                <w:sz w:val="20"/>
                <w:szCs w:val="20"/>
              </w:rPr>
            </w:pPr>
            <w:r>
              <w:rPr>
                <w:rFonts w:ascii="宋体" w:hAnsi="宋体" w:cs="宋体"/>
                <w:b/>
                <w:bCs/>
                <w:color w:val="000000"/>
                <w:kern w:val="0"/>
                <w:sz w:val="20"/>
                <w:szCs w:val="20"/>
              </w:rPr>
              <w:t>1030178</w:t>
            </w:r>
            <w:r>
              <w:rPr>
                <w:rFonts w:hint="eastAsia" w:ascii="宋体" w:hAnsi="宋体" w:cs="宋体"/>
                <w:b/>
                <w:bCs/>
                <w:color w:val="000000"/>
                <w:kern w:val="0"/>
                <w:sz w:val="20"/>
                <w:szCs w:val="20"/>
              </w:rPr>
              <w:t>污水处理费收入</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279</w:t>
            </w:r>
          </w:p>
        </w:tc>
        <w:tc>
          <w:tcPr>
            <w:tcW w:w="1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279</w:t>
            </w:r>
          </w:p>
        </w:tc>
        <w:tc>
          <w:tcPr>
            <w:tcW w:w="18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100.00 </w:t>
            </w:r>
          </w:p>
        </w:tc>
      </w:tr>
      <w:tr>
        <w:tblPrEx>
          <w:tblCellMar>
            <w:top w:w="0" w:type="dxa"/>
            <w:left w:w="108" w:type="dxa"/>
            <w:bottom w:w="0" w:type="dxa"/>
            <w:right w:w="108" w:type="dxa"/>
          </w:tblCellMar>
        </w:tblPrEx>
        <w:trPr>
          <w:trHeight w:val="837" w:hRule="atLeast"/>
          <w:jc w:val="center"/>
        </w:trPr>
        <w:tc>
          <w:tcPr>
            <w:tcW w:w="3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本级收入小计</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100337</w:t>
            </w:r>
          </w:p>
        </w:tc>
        <w:tc>
          <w:tcPr>
            <w:tcW w:w="17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10031</w:t>
            </w:r>
            <w:r>
              <w:rPr>
                <w:rFonts w:hint="eastAsia" w:ascii="宋体" w:hAnsi="宋体" w:cs="宋体"/>
                <w:i w:val="0"/>
                <w:color w:val="000000"/>
                <w:kern w:val="0"/>
                <w:sz w:val="20"/>
                <w:szCs w:val="20"/>
                <w:u w:val="none"/>
                <w:lang w:val="en-US" w:eastAsia="zh-CN" w:bidi="ar"/>
              </w:rPr>
              <w:t>9</w:t>
            </w:r>
          </w:p>
        </w:tc>
        <w:tc>
          <w:tcPr>
            <w:tcW w:w="18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99.98 </w:t>
            </w:r>
          </w:p>
        </w:tc>
      </w:tr>
      <w:tr>
        <w:tblPrEx>
          <w:tblCellMar>
            <w:top w:w="0" w:type="dxa"/>
            <w:left w:w="108" w:type="dxa"/>
            <w:bottom w:w="0" w:type="dxa"/>
            <w:right w:w="108" w:type="dxa"/>
          </w:tblCellMar>
        </w:tblPrEx>
        <w:trPr>
          <w:trHeight w:val="837" w:hRule="atLeast"/>
          <w:jc w:val="center"/>
        </w:trPr>
        <w:tc>
          <w:tcPr>
            <w:tcW w:w="3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cs="宋体"/>
                <w:b/>
                <w:bCs/>
                <w:color w:val="000000"/>
                <w:sz w:val="20"/>
                <w:szCs w:val="20"/>
              </w:rPr>
            </w:pPr>
            <w:r>
              <w:rPr>
                <w:rFonts w:ascii="宋体" w:hAnsi="宋体" w:cs="宋体"/>
                <w:b/>
                <w:bCs/>
                <w:color w:val="000000"/>
                <w:kern w:val="0"/>
                <w:sz w:val="20"/>
                <w:szCs w:val="20"/>
              </w:rPr>
              <w:t>10504</w:t>
            </w:r>
            <w:r>
              <w:rPr>
                <w:rFonts w:hint="eastAsia" w:ascii="宋体" w:hAnsi="宋体" w:cs="宋体"/>
                <w:b/>
                <w:bCs/>
                <w:color w:val="000000"/>
                <w:kern w:val="0"/>
                <w:sz w:val="20"/>
                <w:szCs w:val="20"/>
              </w:rPr>
              <w:t>地方政府债务收入</w:t>
            </w:r>
          </w:p>
        </w:tc>
        <w:tc>
          <w:tcPr>
            <w:tcW w:w="1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79900</w:t>
            </w: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79900</w:t>
            </w:r>
          </w:p>
        </w:tc>
        <w:tc>
          <w:tcPr>
            <w:tcW w:w="18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100.00 </w:t>
            </w:r>
          </w:p>
        </w:tc>
      </w:tr>
      <w:tr>
        <w:tblPrEx>
          <w:tblCellMar>
            <w:top w:w="0" w:type="dxa"/>
            <w:left w:w="108" w:type="dxa"/>
            <w:bottom w:w="0" w:type="dxa"/>
            <w:right w:w="108" w:type="dxa"/>
          </w:tblCellMar>
        </w:tblPrEx>
        <w:trPr>
          <w:trHeight w:val="837" w:hRule="atLeast"/>
          <w:jc w:val="center"/>
        </w:trPr>
        <w:tc>
          <w:tcPr>
            <w:tcW w:w="3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cs="宋体"/>
                <w:b/>
                <w:bCs/>
                <w:color w:val="000000"/>
                <w:sz w:val="20"/>
                <w:szCs w:val="20"/>
              </w:rPr>
            </w:pPr>
            <w:r>
              <w:rPr>
                <w:rFonts w:ascii="宋体" w:hAnsi="宋体" w:cs="宋体"/>
                <w:b/>
                <w:bCs/>
                <w:color w:val="000000"/>
                <w:kern w:val="0"/>
                <w:sz w:val="20"/>
                <w:szCs w:val="20"/>
              </w:rPr>
              <w:t>11004</w:t>
            </w:r>
            <w:r>
              <w:rPr>
                <w:rFonts w:hint="eastAsia" w:ascii="宋体" w:hAnsi="宋体" w:cs="宋体"/>
                <w:b/>
                <w:bCs/>
                <w:color w:val="000000"/>
                <w:kern w:val="0"/>
                <w:sz w:val="20"/>
                <w:szCs w:val="20"/>
              </w:rPr>
              <w:t>政府性基金补助收入</w:t>
            </w: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14981</w:t>
            </w: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14981</w:t>
            </w:r>
          </w:p>
        </w:tc>
        <w:tc>
          <w:tcPr>
            <w:tcW w:w="18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100.00 </w:t>
            </w:r>
          </w:p>
        </w:tc>
      </w:tr>
      <w:tr>
        <w:tblPrEx>
          <w:tblCellMar>
            <w:top w:w="0" w:type="dxa"/>
            <w:left w:w="108" w:type="dxa"/>
            <w:bottom w:w="0" w:type="dxa"/>
            <w:right w:w="108" w:type="dxa"/>
          </w:tblCellMar>
        </w:tblPrEx>
        <w:trPr>
          <w:trHeight w:val="837" w:hRule="atLeast"/>
          <w:jc w:val="center"/>
        </w:trPr>
        <w:tc>
          <w:tcPr>
            <w:tcW w:w="3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cs="宋体"/>
                <w:b/>
                <w:bCs/>
                <w:color w:val="000000"/>
                <w:sz w:val="20"/>
                <w:szCs w:val="20"/>
              </w:rPr>
            </w:pPr>
            <w:r>
              <w:rPr>
                <w:rFonts w:ascii="宋体" w:hAnsi="宋体" w:cs="宋体"/>
                <w:b/>
                <w:bCs/>
                <w:color w:val="000000"/>
                <w:kern w:val="0"/>
                <w:sz w:val="20"/>
                <w:szCs w:val="20"/>
              </w:rPr>
              <w:t>11008</w:t>
            </w:r>
            <w:r>
              <w:rPr>
                <w:rFonts w:hint="eastAsia" w:ascii="宋体" w:hAnsi="宋体" w:cs="宋体"/>
                <w:b/>
                <w:bCs/>
                <w:color w:val="000000"/>
                <w:kern w:val="0"/>
                <w:sz w:val="20"/>
                <w:szCs w:val="20"/>
              </w:rPr>
              <w:t>上年结余收入</w:t>
            </w: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3264</w:t>
            </w: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3264</w:t>
            </w:r>
          </w:p>
        </w:tc>
        <w:tc>
          <w:tcPr>
            <w:tcW w:w="18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100.00 </w:t>
            </w:r>
          </w:p>
        </w:tc>
      </w:tr>
      <w:tr>
        <w:tblPrEx>
          <w:tblCellMar>
            <w:top w:w="0" w:type="dxa"/>
            <w:left w:w="108" w:type="dxa"/>
            <w:bottom w:w="0" w:type="dxa"/>
            <w:right w:w="108" w:type="dxa"/>
          </w:tblCellMar>
        </w:tblPrEx>
        <w:trPr>
          <w:trHeight w:val="837" w:hRule="atLeast"/>
          <w:jc w:val="center"/>
        </w:trPr>
        <w:tc>
          <w:tcPr>
            <w:tcW w:w="3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cs="宋体"/>
                <w:b/>
                <w:bCs/>
                <w:color w:val="000000"/>
                <w:sz w:val="20"/>
                <w:szCs w:val="20"/>
              </w:rPr>
            </w:pPr>
            <w:r>
              <w:rPr>
                <w:rFonts w:ascii="宋体" w:hAnsi="宋体" w:cs="宋体"/>
                <w:b/>
                <w:bCs/>
                <w:color w:val="000000"/>
                <w:kern w:val="0"/>
                <w:sz w:val="20"/>
                <w:szCs w:val="20"/>
              </w:rPr>
              <w:t>11009</w:t>
            </w:r>
            <w:r>
              <w:rPr>
                <w:rFonts w:hint="eastAsia" w:ascii="宋体" w:hAnsi="宋体" w:cs="宋体"/>
                <w:b/>
                <w:bCs/>
                <w:color w:val="000000"/>
                <w:kern w:val="0"/>
                <w:sz w:val="20"/>
                <w:szCs w:val="20"/>
              </w:rPr>
              <w:t>调入资金</w:t>
            </w: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4802</w:t>
            </w: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4802</w:t>
            </w:r>
          </w:p>
        </w:tc>
        <w:tc>
          <w:tcPr>
            <w:tcW w:w="18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100.00 </w:t>
            </w:r>
          </w:p>
        </w:tc>
      </w:tr>
      <w:tr>
        <w:tblPrEx>
          <w:tblCellMar>
            <w:top w:w="0" w:type="dxa"/>
            <w:left w:w="108" w:type="dxa"/>
            <w:bottom w:w="0" w:type="dxa"/>
            <w:right w:w="108" w:type="dxa"/>
          </w:tblCellMar>
        </w:tblPrEx>
        <w:trPr>
          <w:trHeight w:val="837" w:hRule="atLeast"/>
          <w:jc w:val="center"/>
        </w:trPr>
        <w:tc>
          <w:tcPr>
            <w:tcW w:w="3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收入总计</w:t>
            </w: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203284</w:t>
            </w:r>
          </w:p>
        </w:tc>
        <w:tc>
          <w:tcPr>
            <w:tcW w:w="1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20326</w:t>
            </w:r>
            <w:r>
              <w:rPr>
                <w:rFonts w:hint="eastAsia" w:ascii="宋体" w:hAnsi="宋体" w:cs="宋体"/>
                <w:i w:val="0"/>
                <w:color w:val="000000"/>
                <w:kern w:val="0"/>
                <w:sz w:val="20"/>
                <w:szCs w:val="20"/>
                <w:u w:val="none"/>
                <w:lang w:val="en-US" w:eastAsia="zh-CN" w:bidi="ar"/>
              </w:rPr>
              <w:t>6</w:t>
            </w:r>
          </w:p>
        </w:tc>
        <w:tc>
          <w:tcPr>
            <w:tcW w:w="18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99.99 </w:t>
            </w:r>
          </w:p>
        </w:tc>
      </w:tr>
    </w:tbl>
    <w:p>
      <w:pPr>
        <w:pStyle w:val="7"/>
        <w:jc w:val="both"/>
      </w:pPr>
    </w:p>
    <w:p>
      <w:pPr>
        <w:pStyle w:val="7"/>
        <w:jc w:val="both"/>
      </w:pPr>
      <w:r>
        <w:rPr>
          <w:rFonts w:hint="eastAsia" w:ascii="仿宋_GB2312" w:hAnsi="宋体" w:eastAsia="仿宋_GB2312" w:cs="仿宋_GB2312"/>
          <w:color w:val="000000"/>
          <w:szCs w:val="21"/>
        </w:rPr>
        <w:t>附表</w:t>
      </w:r>
      <w:r>
        <w:rPr>
          <w:rFonts w:ascii="仿宋_GB2312" w:hAnsi="宋体" w:eastAsia="仿宋_GB2312" w:cs="仿宋_GB2312"/>
          <w:color w:val="000000"/>
          <w:szCs w:val="21"/>
        </w:rPr>
        <w:t>1-4</w:t>
      </w:r>
    </w:p>
    <w:p>
      <w:pPr>
        <w:jc w:val="center"/>
        <w:rPr>
          <w:rFonts w:ascii="黑体" w:hAnsi="宋体" w:eastAsia="黑体" w:cs="黑体"/>
          <w:b/>
          <w:bCs/>
          <w:color w:val="000000"/>
          <w:kern w:val="0"/>
          <w:sz w:val="32"/>
          <w:szCs w:val="32"/>
        </w:rPr>
      </w:pPr>
      <w:r>
        <w:rPr>
          <w:rFonts w:ascii="黑体" w:hAnsi="宋体" w:eastAsia="黑体" w:cs="黑体"/>
          <w:b/>
          <w:bCs/>
          <w:color w:val="000000"/>
          <w:kern w:val="0"/>
          <w:sz w:val="32"/>
          <w:szCs w:val="32"/>
        </w:rPr>
        <w:t>202</w:t>
      </w:r>
      <w:r>
        <w:rPr>
          <w:rFonts w:hint="eastAsia" w:ascii="黑体" w:hAnsi="宋体" w:eastAsia="黑体" w:cs="黑体"/>
          <w:b/>
          <w:bCs/>
          <w:color w:val="000000"/>
          <w:kern w:val="0"/>
          <w:sz w:val="32"/>
          <w:szCs w:val="32"/>
          <w:lang w:val="en-US" w:eastAsia="zh-CN"/>
        </w:rPr>
        <w:t>4</w:t>
      </w:r>
      <w:r>
        <w:rPr>
          <w:rFonts w:hint="eastAsia" w:ascii="黑体" w:hAnsi="宋体" w:eastAsia="黑体" w:cs="黑体"/>
          <w:b/>
          <w:bCs/>
          <w:color w:val="000000"/>
          <w:kern w:val="0"/>
          <w:sz w:val="32"/>
          <w:szCs w:val="32"/>
        </w:rPr>
        <w:t>年政府性基金支出预算完成情况表</w:t>
      </w:r>
    </w:p>
    <w:p>
      <w:pPr>
        <w:jc w:val="center"/>
        <w:rPr>
          <w:rFonts w:ascii="黑体" w:hAnsi="宋体" w:eastAsia="黑体" w:cs="黑体"/>
          <w:b/>
          <w:bCs/>
          <w:color w:val="000000"/>
          <w:kern w:val="0"/>
          <w:sz w:val="32"/>
          <w:szCs w:val="32"/>
        </w:rPr>
      </w:pPr>
      <w:r>
        <w:rPr>
          <w:rFonts w:hint="eastAsia" w:ascii="宋体" w:hAnsi="宋体" w:cs="宋体"/>
          <w:color w:val="000000"/>
          <w:kern w:val="0"/>
          <w:sz w:val="20"/>
          <w:szCs w:val="20"/>
        </w:rPr>
        <w:t>单位：万元</w:t>
      </w:r>
    </w:p>
    <w:tbl>
      <w:tblPr>
        <w:tblStyle w:val="8"/>
        <w:tblW w:w="9049" w:type="dxa"/>
        <w:tblInd w:w="0" w:type="dxa"/>
        <w:tblLayout w:type="fixed"/>
        <w:tblCellMar>
          <w:top w:w="0" w:type="dxa"/>
          <w:left w:w="108" w:type="dxa"/>
          <w:bottom w:w="0" w:type="dxa"/>
          <w:right w:w="108" w:type="dxa"/>
        </w:tblCellMar>
      </w:tblPr>
      <w:tblGrid>
        <w:gridCol w:w="4275"/>
        <w:gridCol w:w="1555"/>
        <w:gridCol w:w="1509"/>
        <w:gridCol w:w="1710"/>
      </w:tblGrid>
      <w:tr>
        <w:tblPrEx>
          <w:tblCellMar>
            <w:top w:w="0" w:type="dxa"/>
            <w:left w:w="108" w:type="dxa"/>
            <w:bottom w:w="0" w:type="dxa"/>
            <w:right w:w="108" w:type="dxa"/>
          </w:tblCellMar>
        </w:tblPrEx>
        <w:trPr>
          <w:trHeight w:val="600" w:hRule="atLeast"/>
        </w:trPr>
        <w:tc>
          <w:tcPr>
            <w:tcW w:w="4275" w:type="dxa"/>
            <w:tcBorders>
              <w:top w:val="single" w:color="000000" w:sz="4" w:space="0"/>
              <w:left w:val="single" w:color="000000" w:sz="4" w:space="0"/>
              <w:bottom w:val="nil"/>
              <w:right w:val="single" w:color="000000" w:sz="4" w:space="0"/>
            </w:tcBorders>
            <w:shd w:val="clear" w:color="auto" w:fill="FFFFFF"/>
            <w:noWrap/>
            <w:vAlign w:val="center"/>
          </w:tcPr>
          <w:p>
            <w:pPr>
              <w:widowControl/>
              <w:spacing w:line="280" w:lineRule="exact"/>
              <w:jc w:val="center"/>
              <w:textAlignment w:val="center"/>
              <w:rPr>
                <w:rFonts w:ascii="宋体" w:cs="宋体"/>
                <w:b/>
                <w:bCs/>
                <w:color w:val="000000"/>
                <w:sz w:val="20"/>
                <w:szCs w:val="20"/>
              </w:rPr>
            </w:pPr>
            <w:r>
              <w:rPr>
                <w:rFonts w:hint="eastAsia" w:ascii="宋体" w:hAnsi="宋体" w:cs="宋体"/>
                <w:b/>
                <w:bCs/>
                <w:color w:val="000000"/>
                <w:kern w:val="0"/>
                <w:sz w:val="20"/>
                <w:szCs w:val="20"/>
              </w:rPr>
              <w:t>预算科目</w:t>
            </w: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80" w:lineRule="exact"/>
              <w:jc w:val="center"/>
              <w:textAlignment w:val="center"/>
              <w:rPr>
                <w:rFonts w:ascii="宋体" w:cs="宋体"/>
                <w:b/>
                <w:bCs/>
                <w:color w:val="000000"/>
                <w:sz w:val="20"/>
                <w:szCs w:val="20"/>
              </w:rPr>
            </w:pPr>
            <w:r>
              <w:rPr>
                <w:rFonts w:hint="eastAsia" w:ascii="宋体" w:hAnsi="宋体" w:cs="宋体"/>
                <w:b/>
                <w:bCs/>
                <w:color w:val="000000"/>
                <w:kern w:val="0"/>
                <w:sz w:val="20"/>
                <w:szCs w:val="20"/>
              </w:rPr>
              <w:t>调整预算数</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80" w:lineRule="exact"/>
              <w:jc w:val="center"/>
              <w:textAlignment w:val="center"/>
              <w:rPr>
                <w:rFonts w:ascii="宋体" w:cs="宋体"/>
                <w:b/>
                <w:bCs/>
                <w:color w:val="000000"/>
                <w:sz w:val="20"/>
                <w:szCs w:val="20"/>
              </w:rPr>
            </w:pPr>
            <w:r>
              <w:rPr>
                <w:rFonts w:hint="eastAsia" w:ascii="宋体" w:hAnsi="宋体" w:cs="宋体"/>
                <w:b/>
                <w:bCs/>
                <w:color w:val="000000"/>
                <w:kern w:val="0"/>
                <w:sz w:val="20"/>
                <w:szCs w:val="20"/>
              </w:rPr>
              <w:t>实际完成数</w:t>
            </w:r>
          </w:p>
        </w:tc>
        <w:tc>
          <w:tcPr>
            <w:tcW w:w="1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280" w:lineRule="exact"/>
              <w:jc w:val="center"/>
              <w:textAlignment w:val="center"/>
              <w:rPr>
                <w:rFonts w:ascii="宋体" w:cs="宋体"/>
                <w:b/>
                <w:bCs/>
                <w:color w:val="000000"/>
                <w:sz w:val="20"/>
                <w:szCs w:val="20"/>
              </w:rPr>
            </w:pPr>
            <w:r>
              <w:rPr>
                <w:rFonts w:hint="eastAsia" w:ascii="宋体" w:hAnsi="宋体" w:cs="宋体"/>
                <w:b/>
                <w:bCs/>
                <w:color w:val="000000"/>
                <w:kern w:val="0"/>
                <w:sz w:val="20"/>
                <w:szCs w:val="20"/>
              </w:rPr>
              <w:t>占调整预算（</w:t>
            </w:r>
            <w:r>
              <w:rPr>
                <w:rFonts w:ascii="宋体" w:hAnsi="宋体" w:cs="宋体"/>
                <w:b/>
                <w:bCs/>
                <w:color w:val="000000"/>
                <w:kern w:val="0"/>
                <w:sz w:val="20"/>
                <w:szCs w:val="20"/>
              </w:rPr>
              <w:t>%)</w:t>
            </w:r>
          </w:p>
        </w:tc>
      </w:tr>
      <w:tr>
        <w:tblPrEx>
          <w:tblCellMar>
            <w:top w:w="0" w:type="dxa"/>
            <w:left w:w="108" w:type="dxa"/>
            <w:bottom w:w="0" w:type="dxa"/>
            <w:right w:w="108" w:type="dxa"/>
          </w:tblCellMar>
        </w:tblPrEx>
        <w:trPr>
          <w:trHeight w:val="499" w:hRule="atLeast"/>
        </w:trPr>
        <w:tc>
          <w:tcPr>
            <w:tcW w:w="4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ascii="宋体" w:cs="宋体"/>
                <w:b/>
                <w:bCs/>
                <w:color w:val="000000"/>
                <w:sz w:val="20"/>
                <w:szCs w:val="20"/>
              </w:rPr>
            </w:pPr>
            <w:r>
              <w:rPr>
                <w:rFonts w:hint="eastAsia" w:ascii="宋体" w:hAnsi="宋体" w:eastAsia="宋体" w:cs="宋体"/>
                <w:b/>
                <w:i w:val="0"/>
                <w:color w:val="000000"/>
                <w:kern w:val="0"/>
                <w:sz w:val="20"/>
                <w:szCs w:val="20"/>
                <w:u w:val="none"/>
                <w:lang w:val="en-US" w:eastAsia="zh-CN" w:bidi="ar"/>
              </w:rPr>
              <w:t>207文化体育与传媒支出</w:t>
            </w: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8</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8</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100.00 </w:t>
            </w:r>
          </w:p>
        </w:tc>
      </w:tr>
      <w:tr>
        <w:tblPrEx>
          <w:tblCellMar>
            <w:top w:w="0" w:type="dxa"/>
            <w:left w:w="108" w:type="dxa"/>
            <w:bottom w:w="0" w:type="dxa"/>
            <w:right w:w="108" w:type="dxa"/>
          </w:tblCellMar>
        </w:tblPrEx>
        <w:trPr>
          <w:trHeight w:val="499" w:hRule="atLeast"/>
        </w:trPr>
        <w:tc>
          <w:tcPr>
            <w:tcW w:w="4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ascii="宋体" w:cs="宋体"/>
                <w:b/>
                <w:bCs/>
                <w:color w:val="000000"/>
                <w:sz w:val="20"/>
                <w:szCs w:val="20"/>
              </w:rPr>
            </w:pPr>
            <w:r>
              <w:rPr>
                <w:rFonts w:hint="eastAsia" w:ascii="宋体" w:hAnsi="宋体" w:eastAsia="宋体" w:cs="宋体"/>
                <w:b/>
                <w:i w:val="0"/>
                <w:color w:val="000000"/>
                <w:kern w:val="0"/>
                <w:sz w:val="20"/>
                <w:szCs w:val="20"/>
                <w:u w:val="none"/>
                <w:lang w:val="en-US" w:eastAsia="zh-CN" w:bidi="ar"/>
              </w:rPr>
              <w:t>212城乡社区事务</w:t>
            </w: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54497</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54423</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99.86 </w:t>
            </w:r>
          </w:p>
        </w:tc>
      </w:tr>
      <w:tr>
        <w:tblPrEx>
          <w:tblCellMar>
            <w:top w:w="0" w:type="dxa"/>
            <w:left w:w="108" w:type="dxa"/>
            <w:bottom w:w="0" w:type="dxa"/>
            <w:right w:w="108" w:type="dxa"/>
          </w:tblCellMar>
        </w:tblPrEx>
        <w:trPr>
          <w:trHeight w:val="499" w:hRule="atLeast"/>
        </w:trPr>
        <w:tc>
          <w:tcPr>
            <w:tcW w:w="4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ascii="宋体" w:cs="宋体"/>
                <w:b/>
                <w:bCs/>
                <w:color w:val="000000"/>
                <w:sz w:val="20"/>
                <w:szCs w:val="20"/>
              </w:rPr>
            </w:pPr>
            <w:r>
              <w:rPr>
                <w:rFonts w:hint="eastAsia" w:ascii="宋体" w:hAnsi="宋体" w:eastAsia="宋体" w:cs="宋体"/>
                <w:b/>
                <w:i w:val="0"/>
                <w:color w:val="000000"/>
                <w:kern w:val="0"/>
                <w:sz w:val="20"/>
                <w:szCs w:val="20"/>
                <w:u w:val="none"/>
                <w:lang w:val="en-US" w:eastAsia="zh-CN" w:bidi="ar"/>
              </w:rPr>
              <w:t>21208国有土地使用权出让安排的支出</w:t>
            </w: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50388</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50314</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99.85 </w:t>
            </w:r>
          </w:p>
        </w:tc>
      </w:tr>
      <w:tr>
        <w:tblPrEx>
          <w:tblCellMar>
            <w:top w:w="0" w:type="dxa"/>
            <w:left w:w="108" w:type="dxa"/>
            <w:bottom w:w="0" w:type="dxa"/>
            <w:right w:w="108" w:type="dxa"/>
          </w:tblCellMar>
        </w:tblPrEx>
        <w:trPr>
          <w:trHeight w:val="499" w:hRule="atLeast"/>
        </w:trPr>
        <w:tc>
          <w:tcPr>
            <w:tcW w:w="4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ascii="宋体" w:cs="宋体"/>
                <w:b/>
                <w:bCs/>
                <w:color w:val="000000"/>
                <w:sz w:val="20"/>
                <w:szCs w:val="20"/>
              </w:rPr>
            </w:pPr>
            <w:r>
              <w:rPr>
                <w:rFonts w:hint="eastAsia" w:ascii="宋体" w:hAnsi="宋体" w:eastAsia="宋体" w:cs="宋体"/>
                <w:b/>
                <w:i w:val="0"/>
                <w:color w:val="000000"/>
                <w:kern w:val="0"/>
                <w:sz w:val="20"/>
                <w:szCs w:val="20"/>
                <w:u w:val="none"/>
                <w:lang w:val="en-US" w:eastAsia="zh-CN" w:bidi="ar"/>
              </w:rPr>
              <w:t>21210国有土地收益基金安排的支出</w:t>
            </w: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1476</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1476</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100.00 </w:t>
            </w:r>
          </w:p>
        </w:tc>
      </w:tr>
      <w:tr>
        <w:tblPrEx>
          <w:tblCellMar>
            <w:top w:w="0" w:type="dxa"/>
            <w:left w:w="108" w:type="dxa"/>
            <w:bottom w:w="0" w:type="dxa"/>
            <w:right w:w="108" w:type="dxa"/>
          </w:tblCellMar>
        </w:tblPrEx>
        <w:trPr>
          <w:trHeight w:val="499" w:hRule="atLeast"/>
        </w:trPr>
        <w:tc>
          <w:tcPr>
            <w:tcW w:w="4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ascii="宋体" w:cs="宋体"/>
                <w:b/>
                <w:bCs/>
                <w:color w:val="000000"/>
                <w:sz w:val="20"/>
                <w:szCs w:val="20"/>
              </w:rPr>
            </w:pPr>
            <w:r>
              <w:rPr>
                <w:rFonts w:hint="eastAsia" w:ascii="宋体" w:hAnsi="宋体" w:eastAsia="宋体" w:cs="宋体"/>
                <w:b/>
                <w:i w:val="0"/>
                <w:color w:val="000000"/>
                <w:kern w:val="0"/>
                <w:sz w:val="20"/>
                <w:szCs w:val="20"/>
                <w:u w:val="none"/>
                <w:lang w:val="en-US" w:eastAsia="zh-CN" w:bidi="ar"/>
              </w:rPr>
              <w:t>21211农业土地开发基金安排的支出</w:t>
            </w: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129</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129</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100.00 </w:t>
            </w:r>
          </w:p>
        </w:tc>
      </w:tr>
      <w:tr>
        <w:tblPrEx>
          <w:tblCellMar>
            <w:top w:w="0" w:type="dxa"/>
            <w:left w:w="108" w:type="dxa"/>
            <w:bottom w:w="0" w:type="dxa"/>
            <w:right w:w="108" w:type="dxa"/>
          </w:tblCellMar>
        </w:tblPrEx>
        <w:trPr>
          <w:trHeight w:val="499" w:hRule="atLeast"/>
        </w:trPr>
        <w:tc>
          <w:tcPr>
            <w:tcW w:w="4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ascii="宋体" w:cs="宋体"/>
                <w:b/>
                <w:bCs/>
                <w:color w:val="000000"/>
                <w:sz w:val="20"/>
                <w:szCs w:val="20"/>
              </w:rPr>
            </w:pPr>
            <w:r>
              <w:rPr>
                <w:rFonts w:hint="eastAsia" w:ascii="宋体" w:hAnsi="宋体" w:eastAsia="宋体" w:cs="宋体"/>
                <w:b/>
                <w:i w:val="0"/>
                <w:color w:val="000000"/>
                <w:kern w:val="0"/>
                <w:sz w:val="20"/>
                <w:szCs w:val="20"/>
                <w:u w:val="none"/>
                <w:lang w:val="en-US" w:eastAsia="zh-CN" w:bidi="ar"/>
              </w:rPr>
              <w:t>21213城市基础设施配套费安排的支出</w:t>
            </w: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664</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664</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100.00 </w:t>
            </w:r>
          </w:p>
        </w:tc>
      </w:tr>
      <w:tr>
        <w:tblPrEx>
          <w:tblCellMar>
            <w:top w:w="0" w:type="dxa"/>
            <w:left w:w="108" w:type="dxa"/>
            <w:bottom w:w="0" w:type="dxa"/>
            <w:right w:w="108" w:type="dxa"/>
          </w:tblCellMar>
        </w:tblPrEx>
        <w:trPr>
          <w:trHeight w:val="499" w:hRule="atLeast"/>
        </w:trPr>
        <w:tc>
          <w:tcPr>
            <w:tcW w:w="4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ascii="宋体" w:cs="宋体"/>
                <w:b/>
                <w:bCs/>
                <w:color w:val="000000"/>
                <w:sz w:val="20"/>
                <w:szCs w:val="20"/>
              </w:rPr>
            </w:pPr>
            <w:r>
              <w:rPr>
                <w:rFonts w:hint="eastAsia" w:ascii="宋体" w:hAnsi="宋体" w:eastAsia="宋体" w:cs="宋体"/>
                <w:b/>
                <w:i w:val="0"/>
                <w:color w:val="000000"/>
                <w:kern w:val="0"/>
                <w:sz w:val="20"/>
                <w:szCs w:val="20"/>
                <w:u w:val="none"/>
                <w:lang w:val="en-US" w:eastAsia="zh-CN" w:bidi="ar"/>
              </w:rPr>
              <w:t>21214污水处理费安排的支出</w:t>
            </w: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250</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250</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100.00 </w:t>
            </w:r>
          </w:p>
        </w:tc>
      </w:tr>
      <w:tr>
        <w:tblPrEx>
          <w:tblCellMar>
            <w:top w:w="0" w:type="dxa"/>
            <w:left w:w="108" w:type="dxa"/>
            <w:bottom w:w="0" w:type="dxa"/>
            <w:right w:w="108" w:type="dxa"/>
          </w:tblCellMar>
        </w:tblPrEx>
        <w:trPr>
          <w:trHeight w:val="499" w:hRule="atLeast"/>
        </w:trPr>
        <w:tc>
          <w:tcPr>
            <w:tcW w:w="4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ascii="宋体" w:cs="宋体"/>
                <w:b/>
                <w:bCs/>
                <w:color w:val="000000"/>
                <w:sz w:val="20"/>
                <w:szCs w:val="20"/>
              </w:rPr>
            </w:pPr>
            <w:r>
              <w:rPr>
                <w:rFonts w:hint="eastAsia" w:ascii="宋体" w:hAnsi="宋体" w:eastAsia="宋体" w:cs="宋体"/>
                <w:b/>
                <w:i w:val="0"/>
                <w:color w:val="000000"/>
                <w:kern w:val="0"/>
                <w:sz w:val="20"/>
                <w:szCs w:val="20"/>
                <w:u w:val="none"/>
                <w:lang w:val="en-US" w:eastAsia="zh-CN" w:bidi="ar"/>
              </w:rPr>
              <w:t>21216棚户区改造专项债券收入安排的支出</w:t>
            </w: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13</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13</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100.00 </w:t>
            </w:r>
          </w:p>
        </w:tc>
      </w:tr>
      <w:tr>
        <w:tblPrEx>
          <w:tblCellMar>
            <w:top w:w="0" w:type="dxa"/>
            <w:left w:w="108" w:type="dxa"/>
            <w:bottom w:w="0" w:type="dxa"/>
            <w:right w:w="108" w:type="dxa"/>
          </w:tblCellMar>
        </w:tblPrEx>
        <w:trPr>
          <w:trHeight w:val="499" w:hRule="atLeast"/>
        </w:trPr>
        <w:tc>
          <w:tcPr>
            <w:tcW w:w="4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ascii="宋体" w:cs="宋体"/>
                <w:b/>
                <w:bCs/>
                <w:color w:val="000000"/>
                <w:sz w:val="20"/>
                <w:szCs w:val="20"/>
              </w:rPr>
            </w:pPr>
            <w:r>
              <w:rPr>
                <w:rFonts w:hint="eastAsia" w:ascii="宋体" w:hAnsi="宋体" w:eastAsia="宋体" w:cs="宋体"/>
                <w:b/>
                <w:i w:val="0"/>
                <w:color w:val="000000"/>
                <w:kern w:val="0"/>
                <w:sz w:val="20"/>
                <w:szCs w:val="20"/>
                <w:u w:val="none"/>
                <w:lang w:val="en-US" w:eastAsia="zh-CN" w:bidi="ar"/>
              </w:rPr>
              <w:t>21219国有土地使用权出让收入对应专项债务收入安排的支出</w:t>
            </w: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1000</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1000</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100.00 </w:t>
            </w:r>
          </w:p>
        </w:tc>
      </w:tr>
      <w:tr>
        <w:tblPrEx>
          <w:tblCellMar>
            <w:top w:w="0" w:type="dxa"/>
            <w:left w:w="108" w:type="dxa"/>
            <w:bottom w:w="0" w:type="dxa"/>
            <w:right w:w="108" w:type="dxa"/>
          </w:tblCellMar>
        </w:tblPrEx>
        <w:trPr>
          <w:trHeight w:val="499" w:hRule="atLeast"/>
        </w:trPr>
        <w:tc>
          <w:tcPr>
            <w:tcW w:w="4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ascii="宋体" w:cs="宋体"/>
                <w:b/>
                <w:bCs/>
                <w:color w:val="000000"/>
                <w:sz w:val="20"/>
                <w:szCs w:val="20"/>
              </w:rPr>
            </w:pPr>
            <w:r>
              <w:rPr>
                <w:rFonts w:hint="eastAsia" w:ascii="宋体" w:hAnsi="宋体" w:eastAsia="宋体" w:cs="宋体"/>
                <w:b/>
                <w:i w:val="0"/>
                <w:color w:val="000000"/>
                <w:kern w:val="0"/>
                <w:sz w:val="20"/>
                <w:szCs w:val="20"/>
                <w:u w:val="none"/>
                <w:lang w:val="en-US" w:eastAsia="zh-CN" w:bidi="ar"/>
              </w:rPr>
              <w:t>21298超长期特别国债安排的支出</w:t>
            </w: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577</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577</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100.00 </w:t>
            </w:r>
          </w:p>
        </w:tc>
      </w:tr>
      <w:tr>
        <w:tblPrEx>
          <w:tblCellMar>
            <w:top w:w="0" w:type="dxa"/>
            <w:left w:w="108" w:type="dxa"/>
            <w:bottom w:w="0" w:type="dxa"/>
            <w:right w:w="108" w:type="dxa"/>
          </w:tblCellMar>
        </w:tblPrEx>
        <w:trPr>
          <w:trHeight w:val="499" w:hRule="atLeast"/>
        </w:trPr>
        <w:tc>
          <w:tcPr>
            <w:tcW w:w="4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ascii="宋体" w:cs="宋体"/>
                <w:b/>
                <w:bCs/>
                <w:color w:val="000000"/>
                <w:sz w:val="20"/>
                <w:szCs w:val="20"/>
              </w:rPr>
            </w:pPr>
            <w:r>
              <w:rPr>
                <w:rFonts w:hint="eastAsia" w:ascii="宋体" w:hAnsi="宋体" w:eastAsia="宋体" w:cs="宋体"/>
                <w:b/>
                <w:i w:val="0"/>
                <w:color w:val="000000"/>
                <w:kern w:val="0"/>
                <w:sz w:val="20"/>
                <w:szCs w:val="20"/>
                <w:u w:val="none"/>
                <w:lang w:val="en-US" w:eastAsia="zh-CN" w:bidi="ar"/>
              </w:rPr>
              <w:t>213农林水支出</w:t>
            </w: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1099</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1099</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100.00 </w:t>
            </w:r>
          </w:p>
        </w:tc>
      </w:tr>
      <w:tr>
        <w:tblPrEx>
          <w:tblCellMar>
            <w:top w:w="0" w:type="dxa"/>
            <w:left w:w="108" w:type="dxa"/>
            <w:bottom w:w="0" w:type="dxa"/>
            <w:right w:w="108" w:type="dxa"/>
          </w:tblCellMar>
        </w:tblPrEx>
        <w:trPr>
          <w:trHeight w:val="499" w:hRule="atLeast"/>
        </w:trPr>
        <w:tc>
          <w:tcPr>
            <w:tcW w:w="4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ascii="宋体" w:cs="宋体"/>
                <w:b/>
                <w:bCs/>
                <w:color w:val="000000"/>
                <w:sz w:val="20"/>
                <w:szCs w:val="20"/>
              </w:rPr>
            </w:pPr>
            <w:r>
              <w:rPr>
                <w:rFonts w:hint="eastAsia" w:ascii="宋体" w:hAnsi="宋体" w:eastAsia="宋体" w:cs="宋体"/>
                <w:b/>
                <w:i w:val="0"/>
                <w:color w:val="000000"/>
                <w:kern w:val="0"/>
                <w:sz w:val="20"/>
                <w:szCs w:val="20"/>
                <w:u w:val="none"/>
                <w:lang w:val="en-US" w:eastAsia="zh-CN" w:bidi="ar"/>
              </w:rPr>
              <w:t>215资源勘探工业信息等支出</w:t>
            </w:r>
          </w:p>
        </w:tc>
        <w:tc>
          <w:tcPr>
            <w:tcW w:w="1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12</w:t>
            </w:r>
          </w:p>
        </w:tc>
        <w:tc>
          <w:tcPr>
            <w:tcW w:w="1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12</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100.00 </w:t>
            </w:r>
          </w:p>
        </w:tc>
      </w:tr>
      <w:tr>
        <w:tblPrEx>
          <w:tblCellMar>
            <w:top w:w="0" w:type="dxa"/>
            <w:left w:w="108" w:type="dxa"/>
            <w:bottom w:w="0" w:type="dxa"/>
            <w:right w:w="108" w:type="dxa"/>
          </w:tblCellMar>
        </w:tblPrEx>
        <w:trPr>
          <w:trHeight w:val="499" w:hRule="atLeast"/>
        </w:trPr>
        <w:tc>
          <w:tcPr>
            <w:tcW w:w="4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ascii="宋体" w:cs="宋体"/>
                <w:b/>
                <w:bCs/>
                <w:color w:val="000000"/>
                <w:sz w:val="20"/>
                <w:szCs w:val="20"/>
              </w:rPr>
            </w:pPr>
            <w:r>
              <w:rPr>
                <w:rFonts w:hint="eastAsia" w:ascii="宋体" w:hAnsi="宋体" w:eastAsia="宋体" w:cs="宋体"/>
                <w:b/>
                <w:i w:val="0"/>
                <w:color w:val="000000"/>
                <w:kern w:val="0"/>
                <w:sz w:val="20"/>
                <w:szCs w:val="20"/>
                <w:u w:val="none"/>
                <w:lang w:val="en-US" w:eastAsia="zh-CN" w:bidi="ar"/>
              </w:rPr>
              <w:t>224灾害防治及应急管理支出</w:t>
            </w:r>
          </w:p>
        </w:tc>
        <w:tc>
          <w:tcPr>
            <w:tcW w:w="1555"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574</w:t>
            </w:r>
          </w:p>
        </w:tc>
        <w:tc>
          <w:tcPr>
            <w:tcW w:w="1509"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574</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100.00 </w:t>
            </w:r>
          </w:p>
        </w:tc>
      </w:tr>
      <w:tr>
        <w:tblPrEx>
          <w:tblCellMar>
            <w:top w:w="0" w:type="dxa"/>
            <w:left w:w="108" w:type="dxa"/>
            <w:bottom w:w="0" w:type="dxa"/>
            <w:right w:w="108" w:type="dxa"/>
          </w:tblCellMar>
        </w:tblPrEx>
        <w:trPr>
          <w:trHeight w:val="499" w:hRule="atLeast"/>
        </w:trPr>
        <w:tc>
          <w:tcPr>
            <w:tcW w:w="4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ascii="宋体" w:cs="宋体"/>
                <w:b/>
                <w:bCs/>
                <w:color w:val="000000"/>
                <w:sz w:val="20"/>
                <w:szCs w:val="20"/>
              </w:rPr>
            </w:pPr>
            <w:r>
              <w:rPr>
                <w:rFonts w:hint="eastAsia" w:ascii="宋体" w:hAnsi="宋体" w:eastAsia="宋体" w:cs="宋体"/>
                <w:b/>
                <w:i w:val="0"/>
                <w:color w:val="000000"/>
                <w:kern w:val="0"/>
                <w:sz w:val="20"/>
                <w:szCs w:val="20"/>
                <w:u w:val="none"/>
                <w:lang w:val="en-US" w:eastAsia="zh-CN" w:bidi="ar"/>
              </w:rPr>
              <w:t>229其他支出</w:t>
            </w:r>
          </w:p>
        </w:tc>
        <w:tc>
          <w:tcPr>
            <w:tcW w:w="1555"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24911</w:t>
            </w:r>
          </w:p>
        </w:tc>
        <w:tc>
          <w:tcPr>
            <w:tcW w:w="1509"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24967</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100.22 </w:t>
            </w:r>
          </w:p>
        </w:tc>
      </w:tr>
      <w:tr>
        <w:tblPrEx>
          <w:tblCellMar>
            <w:top w:w="0" w:type="dxa"/>
            <w:left w:w="108" w:type="dxa"/>
            <w:bottom w:w="0" w:type="dxa"/>
            <w:right w:w="108" w:type="dxa"/>
          </w:tblCellMar>
        </w:tblPrEx>
        <w:trPr>
          <w:trHeight w:val="499" w:hRule="atLeast"/>
        </w:trPr>
        <w:tc>
          <w:tcPr>
            <w:tcW w:w="4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ascii="宋体" w:cs="宋体"/>
                <w:b/>
                <w:bCs/>
                <w:color w:val="000000"/>
                <w:sz w:val="20"/>
                <w:szCs w:val="20"/>
              </w:rPr>
            </w:pPr>
            <w:r>
              <w:rPr>
                <w:rFonts w:hint="eastAsia" w:ascii="宋体" w:hAnsi="宋体" w:eastAsia="宋体" w:cs="宋体"/>
                <w:b/>
                <w:i w:val="0"/>
                <w:color w:val="000000"/>
                <w:kern w:val="0"/>
                <w:sz w:val="20"/>
                <w:szCs w:val="20"/>
                <w:u w:val="none"/>
                <w:lang w:val="en-US" w:eastAsia="zh-CN" w:bidi="ar"/>
              </w:rPr>
              <w:t>22904其他政府性基金及对应专项债务收入安排的支出</w:t>
            </w:r>
          </w:p>
        </w:tc>
        <w:tc>
          <w:tcPr>
            <w:tcW w:w="1555"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23832</w:t>
            </w:r>
          </w:p>
        </w:tc>
        <w:tc>
          <w:tcPr>
            <w:tcW w:w="1509"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23832</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100.00 </w:t>
            </w:r>
          </w:p>
        </w:tc>
      </w:tr>
      <w:tr>
        <w:tblPrEx>
          <w:tblCellMar>
            <w:top w:w="0" w:type="dxa"/>
            <w:left w:w="108" w:type="dxa"/>
            <w:bottom w:w="0" w:type="dxa"/>
            <w:right w:w="108" w:type="dxa"/>
          </w:tblCellMar>
        </w:tblPrEx>
        <w:trPr>
          <w:trHeight w:val="499" w:hRule="atLeast"/>
        </w:trPr>
        <w:tc>
          <w:tcPr>
            <w:tcW w:w="4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ascii="宋体" w:cs="宋体"/>
                <w:b/>
                <w:bCs/>
                <w:color w:val="000000"/>
                <w:sz w:val="20"/>
                <w:szCs w:val="20"/>
              </w:rPr>
            </w:pPr>
            <w:r>
              <w:rPr>
                <w:rFonts w:hint="eastAsia" w:ascii="宋体" w:hAnsi="宋体" w:eastAsia="宋体" w:cs="宋体"/>
                <w:b/>
                <w:i w:val="0"/>
                <w:color w:val="000000"/>
                <w:kern w:val="0"/>
                <w:sz w:val="20"/>
                <w:szCs w:val="20"/>
                <w:u w:val="none"/>
                <w:lang w:val="en-US" w:eastAsia="zh-CN" w:bidi="ar"/>
              </w:rPr>
              <w:t>22960彩票公益金安排的支出</w:t>
            </w:r>
          </w:p>
        </w:tc>
        <w:tc>
          <w:tcPr>
            <w:tcW w:w="1555"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1079</w:t>
            </w:r>
          </w:p>
        </w:tc>
        <w:tc>
          <w:tcPr>
            <w:tcW w:w="1509"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1135</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105.19 </w:t>
            </w:r>
          </w:p>
        </w:tc>
      </w:tr>
      <w:tr>
        <w:tblPrEx>
          <w:tblCellMar>
            <w:top w:w="0" w:type="dxa"/>
            <w:left w:w="108" w:type="dxa"/>
            <w:bottom w:w="0" w:type="dxa"/>
            <w:right w:w="108" w:type="dxa"/>
          </w:tblCellMar>
        </w:tblPrEx>
        <w:trPr>
          <w:trHeight w:val="499" w:hRule="atLeast"/>
        </w:trPr>
        <w:tc>
          <w:tcPr>
            <w:tcW w:w="4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ascii="宋体" w:cs="宋体"/>
                <w:b/>
                <w:bCs/>
                <w:color w:val="000000"/>
                <w:sz w:val="20"/>
                <w:szCs w:val="20"/>
              </w:rPr>
            </w:pPr>
            <w:r>
              <w:rPr>
                <w:rFonts w:hint="eastAsia" w:ascii="宋体" w:hAnsi="宋体" w:eastAsia="宋体" w:cs="宋体"/>
                <w:b/>
                <w:i w:val="0"/>
                <w:color w:val="000000"/>
                <w:kern w:val="0"/>
                <w:sz w:val="20"/>
                <w:szCs w:val="20"/>
                <w:u w:val="none"/>
                <w:lang w:val="en-US" w:eastAsia="zh-CN" w:bidi="ar"/>
              </w:rPr>
              <w:t>2</w:t>
            </w:r>
            <w:r>
              <w:rPr>
                <w:rStyle w:val="20"/>
                <w:lang w:val="en-US" w:eastAsia="zh-CN" w:bidi="ar"/>
              </w:rPr>
              <w:t>32债务付息支出</w:t>
            </w:r>
          </w:p>
        </w:tc>
        <w:tc>
          <w:tcPr>
            <w:tcW w:w="1555"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4776</w:t>
            </w:r>
          </w:p>
        </w:tc>
        <w:tc>
          <w:tcPr>
            <w:tcW w:w="1509"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4776</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100.00 </w:t>
            </w:r>
          </w:p>
        </w:tc>
      </w:tr>
      <w:tr>
        <w:tblPrEx>
          <w:tblCellMar>
            <w:top w:w="0" w:type="dxa"/>
            <w:left w:w="108" w:type="dxa"/>
            <w:bottom w:w="0" w:type="dxa"/>
            <w:right w:w="108" w:type="dxa"/>
          </w:tblCellMar>
        </w:tblPrEx>
        <w:trPr>
          <w:trHeight w:val="499" w:hRule="atLeast"/>
        </w:trPr>
        <w:tc>
          <w:tcPr>
            <w:tcW w:w="4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ascii="宋体" w:cs="宋体"/>
                <w:b/>
                <w:bCs/>
                <w:color w:val="000000"/>
                <w:sz w:val="20"/>
                <w:szCs w:val="20"/>
              </w:rPr>
            </w:pPr>
            <w:r>
              <w:rPr>
                <w:rFonts w:hint="eastAsia" w:ascii="宋体" w:hAnsi="宋体" w:eastAsia="宋体" w:cs="宋体"/>
                <w:b/>
                <w:i w:val="0"/>
                <w:color w:val="000000"/>
                <w:kern w:val="0"/>
                <w:sz w:val="20"/>
                <w:szCs w:val="20"/>
                <w:u w:val="none"/>
                <w:lang w:val="en-US" w:eastAsia="zh-CN" w:bidi="ar"/>
              </w:rPr>
              <w:t>23204地方政府专项债务付息支出</w:t>
            </w:r>
          </w:p>
        </w:tc>
        <w:tc>
          <w:tcPr>
            <w:tcW w:w="1555"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4776</w:t>
            </w:r>
          </w:p>
        </w:tc>
        <w:tc>
          <w:tcPr>
            <w:tcW w:w="1509"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4776</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100.00 </w:t>
            </w:r>
          </w:p>
        </w:tc>
      </w:tr>
      <w:tr>
        <w:tblPrEx>
          <w:tblCellMar>
            <w:top w:w="0" w:type="dxa"/>
            <w:left w:w="108" w:type="dxa"/>
            <w:bottom w:w="0" w:type="dxa"/>
            <w:right w:w="108" w:type="dxa"/>
          </w:tblCellMar>
        </w:tblPrEx>
        <w:trPr>
          <w:trHeight w:val="499" w:hRule="atLeast"/>
        </w:trPr>
        <w:tc>
          <w:tcPr>
            <w:tcW w:w="4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ascii="宋体" w:cs="宋体"/>
                <w:b/>
                <w:bCs/>
                <w:color w:val="000000"/>
                <w:sz w:val="20"/>
                <w:szCs w:val="20"/>
              </w:rPr>
            </w:pPr>
            <w:r>
              <w:rPr>
                <w:rFonts w:hint="eastAsia" w:ascii="宋体" w:hAnsi="宋体" w:eastAsia="宋体" w:cs="宋体"/>
                <w:b/>
                <w:i w:val="0"/>
                <w:color w:val="000000"/>
                <w:kern w:val="0"/>
                <w:sz w:val="20"/>
                <w:szCs w:val="20"/>
                <w:u w:val="none"/>
                <w:lang w:val="en-US" w:eastAsia="zh-CN" w:bidi="ar"/>
              </w:rPr>
              <w:t>2</w:t>
            </w:r>
            <w:r>
              <w:rPr>
                <w:rStyle w:val="20"/>
                <w:lang w:val="en-US" w:eastAsia="zh-CN" w:bidi="ar"/>
              </w:rPr>
              <w:t>33债务发行费用支出</w:t>
            </w:r>
          </w:p>
        </w:tc>
        <w:tc>
          <w:tcPr>
            <w:tcW w:w="1555"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68</w:t>
            </w:r>
          </w:p>
        </w:tc>
        <w:tc>
          <w:tcPr>
            <w:tcW w:w="1509"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68</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100.00 </w:t>
            </w:r>
          </w:p>
        </w:tc>
      </w:tr>
      <w:tr>
        <w:tblPrEx>
          <w:tblCellMar>
            <w:top w:w="0" w:type="dxa"/>
            <w:left w:w="108" w:type="dxa"/>
            <w:bottom w:w="0" w:type="dxa"/>
            <w:right w:w="108" w:type="dxa"/>
          </w:tblCellMar>
        </w:tblPrEx>
        <w:trPr>
          <w:trHeight w:val="499" w:hRule="atLeast"/>
        </w:trPr>
        <w:tc>
          <w:tcPr>
            <w:tcW w:w="4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ascii="宋体" w:cs="宋体"/>
                <w:b/>
                <w:bCs/>
                <w:color w:val="000000"/>
                <w:sz w:val="20"/>
                <w:szCs w:val="20"/>
              </w:rPr>
            </w:pPr>
            <w:r>
              <w:rPr>
                <w:rFonts w:hint="eastAsia" w:ascii="宋体" w:hAnsi="宋体" w:eastAsia="宋体" w:cs="宋体"/>
                <w:b/>
                <w:i w:val="0"/>
                <w:color w:val="000000"/>
                <w:kern w:val="0"/>
                <w:sz w:val="20"/>
                <w:szCs w:val="20"/>
                <w:u w:val="none"/>
                <w:lang w:val="en-US" w:eastAsia="zh-CN" w:bidi="ar"/>
              </w:rPr>
              <w:t>23304地方政府专项债务发行费用支出</w:t>
            </w:r>
          </w:p>
        </w:tc>
        <w:tc>
          <w:tcPr>
            <w:tcW w:w="1555"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68</w:t>
            </w:r>
          </w:p>
        </w:tc>
        <w:tc>
          <w:tcPr>
            <w:tcW w:w="1509"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68</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100.00 </w:t>
            </w:r>
          </w:p>
        </w:tc>
      </w:tr>
      <w:tr>
        <w:tblPrEx>
          <w:tblCellMar>
            <w:top w:w="0" w:type="dxa"/>
            <w:left w:w="108" w:type="dxa"/>
            <w:bottom w:w="0" w:type="dxa"/>
            <w:right w:w="108" w:type="dxa"/>
          </w:tblCellMar>
        </w:tblPrEx>
        <w:trPr>
          <w:trHeight w:val="499" w:hRule="atLeast"/>
        </w:trPr>
        <w:tc>
          <w:tcPr>
            <w:tcW w:w="4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cs="宋体"/>
                <w:b/>
                <w:bCs/>
                <w:color w:val="000000"/>
                <w:sz w:val="20"/>
                <w:szCs w:val="20"/>
              </w:rPr>
            </w:pPr>
            <w:r>
              <w:rPr>
                <w:rFonts w:hint="eastAsia" w:ascii="宋体" w:hAnsi="宋体" w:eastAsia="宋体" w:cs="宋体"/>
                <w:b/>
                <w:i w:val="0"/>
                <w:color w:val="000000"/>
                <w:kern w:val="0"/>
                <w:sz w:val="20"/>
                <w:szCs w:val="20"/>
                <w:u w:val="none"/>
                <w:lang w:val="en-US" w:eastAsia="zh-CN" w:bidi="ar"/>
              </w:rPr>
              <w:t>支出合计</w:t>
            </w:r>
          </w:p>
        </w:tc>
        <w:tc>
          <w:tcPr>
            <w:tcW w:w="1555"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85945</w:t>
            </w:r>
          </w:p>
        </w:tc>
        <w:tc>
          <w:tcPr>
            <w:tcW w:w="1509"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85927</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99.98 </w:t>
            </w:r>
          </w:p>
        </w:tc>
      </w:tr>
      <w:tr>
        <w:tblPrEx>
          <w:tblCellMar>
            <w:top w:w="0" w:type="dxa"/>
            <w:left w:w="108" w:type="dxa"/>
            <w:bottom w:w="0" w:type="dxa"/>
            <w:right w:w="108" w:type="dxa"/>
          </w:tblCellMar>
        </w:tblPrEx>
        <w:trPr>
          <w:trHeight w:val="44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宋体" w:cs="宋体"/>
                <w:b/>
                <w:bCs/>
                <w:color w:val="000000"/>
                <w:sz w:val="20"/>
                <w:szCs w:val="20"/>
              </w:rPr>
            </w:pPr>
            <w:r>
              <w:rPr>
                <w:rFonts w:hint="eastAsia" w:ascii="宋体" w:hAnsi="宋体" w:eastAsia="宋体" w:cs="宋体"/>
                <w:b/>
                <w:i w:val="0"/>
                <w:color w:val="000000"/>
                <w:kern w:val="0"/>
                <w:sz w:val="20"/>
                <w:szCs w:val="20"/>
                <w:u w:val="none"/>
                <w:lang w:val="en-US" w:eastAsia="zh-CN" w:bidi="ar"/>
              </w:rPr>
              <w:t>转移性支出</w:t>
            </w:r>
          </w:p>
        </w:tc>
        <w:tc>
          <w:tcPr>
            <w:tcW w:w="1555"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57839</w:t>
            </w:r>
          </w:p>
        </w:tc>
        <w:tc>
          <w:tcPr>
            <w:tcW w:w="1509"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57839</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 xml:space="preserve">100.00 </w:t>
            </w:r>
          </w:p>
        </w:tc>
      </w:tr>
      <w:tr>
        <w:tblPrEx>
          <w:tblCellMar>
            <w:top w:w="0" w:type="dxa"/>
            <w:left w:w="108" w:type="dxa"/>
            <w:bottom w:w="0" w:type="dxa"/>
            <w:right w:w="108" w:type="dxa"/>
          </w:tblCellMar>
        </w:tblPrEx>
        <w:trPr>
          <w:trHeight w:val="44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23008调出至一般公共预算资金</w:t>
            </w:r>
          </w:p>
        </w:tc>
        <w:tc>
          <w:tcPr>
            <w:tcW w:w="1555"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44802</w:t>
            </w:r>
          </w:p>
        </w:tc>
        <w:tc>
          <w:tcPr>
            <w:tcW w:w="1509"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44802</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100.00 </w:t>
            </w:r>
          </w:p>
        </w:tc>
      </w:tr>
      <w:tr>
        <w:tblPrEx>
          <w:tblCellMar>
            <w:top w:w="0" w:type="dxa"/>
            <w:left w:w="108" w:type="dxa"/>
            <w:bottom w:w="0" w:type="dxa"/>
            <w:right w:w="108" w:type="dxa"/>
          </w:tblCellMar>
        </w:tblPrEx>
        <w:trPr>
          <w:trHeight w:val="44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23009年终结余</w:t>
            </w:r>
          </w:p>
        </w:tc>
        <w:tc>
          <w:tcPr>
            <w:tcW w:w="1555"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13037</w:t>
            </w:r>
          </w:p>
        </w:tc>
        <w:tc>
          <w:tcPr>
            <w:tcW w:w="1509"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13037</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100.00 </w:t>
            </w:r>
          </w:p>
        </w:tc>
      </w:tr>
      <w:tr>
        <w:tblPrEx>
          <w:tblCellMar>
            <w:top w:w="0" w:type="dxa"/>
            <w:left w:w="108" w:type="dxa"/>
            <w:bottom w:w="0" w:type="dxa"/>
            <w:right w:w="108" w:type="dxa"/>
          </w:tblCellMar>
        </w:tblPrEx>
        <w:trPr>
          <w:trHeight w:val="44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231债务还本支出</w:t>
            </w:r>
          </w:p>
        </w:tc>
        <w:tc>
          <w:tcPr>
            <w:tcW w:w="1555"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59500</w:t>
            </w:r>
          </w:p>
        </w:tc>
        <w:tc>
          <w:tcPr>
            <w:tcW w:w="1509"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59500</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100.00 </w:t>
            </w:r>
          </w:p>
        </w:tc>
      </w:tr>
      <w:tr>
        <w:tblPrEx>
          <w:tblCellMar>
            <w:top w:w="0" w:type="dxa"/>
            <w:left w:w="108" w:type="dxa"/>
            <w:bottom w:w="0" w:type="dxa"/>
            <w:right w:w="108" w:type="dxa"/>
          </w:tblCellMar>
        </w:tblPrEx>
        <w:trPr>
          <w:trHeight w:val="44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23104地方政府专项债务还本支出</w:t>
            </w:r>
          </w:p>
        </w:tc>
        <w:tc>
          <w:tcPr>
            <w:tcW w:w="1555"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59500</w:t>
            </w:r>
          </w:p>
        </w:tc>
        <w:tc>
          <w:tcPr>
            <w:tcW w:w="1509"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59500</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100.00 </w:t>
            </w:r>
          </w:p>
        </w:tc>
      </w:tr>
      <w:tr>
        <w:tblPrEx>
          <w:tblCellMar>
            <w:top w:w="0" w:type="dxa"/>
            <w:left w:w="108" w:type="dxa"/>
            <w:bottom w:w="0" w:type="dxa"/>
            <w:right w:w="108" w:type="dxa"/>
          </w:tblCellMar>
        </w:tblPrEx>
        <w:trPr>
          <w:trHeight w:val="440" w:hRule="atLeast"/>
        </w:trPr>
        <w:tc>
          <w:tcPr>
            <w:tcW w:w="42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支出总计</w:t>
            </w:r>
          </w:p>
        </w:tc>
        <w:tc>
          <w:tcPr>
            <w:tcW w:w="1555"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203284</w:t>
            </w:r>
          </w:p>
        </w:tc>
        <w:tc>
          <w:tcPr>
            <w:tcW w:w="1509" w:type="dxa"/>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203266</w:t>
            </w:r>
          </w:p>
        </w:tc>
        <w:tc>
          <w:tcPr>
            <w:tcW w:w="17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 xml:space="preserve">99.99 </w:t>
            </w:r>
          </w:p>
        </w:tc>
      </w:tr>
    </w:tbl>
    <w:p>
      <w:pPr>
        <w:pStyle w:val="7"/>
        <w:jc w:val="both"/>
        <w:rPr>
          <w:rFonts w:hint="eastAsia" w:ascii="仿宋_GB2312" w:hAnsi="宋体" w:eastAsia="仿宋_GB2312" w:cs="仿宋_GB2312"/>
          <w:color w:val="000000"/>
          <w:szCs w:val="21"/>
        </w:rPr>
      </w:pPr>
    </w:p>
    <w:p>
      <w:pPr>
        <w:pStyle w:val="7"/>
        <w:jc w:val="both"/>
        <w:rPr>
          <w:rFonts w:hint="eastAsia" w:ascii="仿宋_GB2312" w:hAnsi="宋体" w:eastAsia="仿宋_GB2312" w:cs="仿宋_GB2312"/>
          <w:color w:val="000000"/>
          <w:szCs w:val="21"/>
        </w:rPr>
      </w:pPr>
    </w:p>
    <w:p>
      <w:pPr>
        <w:pStyle w:val="7"/>
        <w:jc w:val="both"/>
        <w:rPr>
          <w:rFonts w:hint="eastAsia" w:ascii="仿宋_GB2312" w:hAnsi="宋体" w:eastAsia="仿宋_GB2312" w:cs="仿宋_GB2312"/>
          <w:color w:val="000000"/>
          <w:szCs w:val="21"/>
        </w:rPr>
      </w:pPr>
    </w:p>
    <w:p>
      <w:pPr>
        <w:pStyle w:val="7"/>
        <w:jc w:val="both"/>
        <w:rPr>
          <w:rFonts w:hint="eastAsia" w:ascii="仿宋_GB2312" w:hAnsi="宋体" w:eastAsia="仿宋_GB2312" w:cs="仿宋_GB2312"/>
          <w:color w:val="000000"/>
          <w:szCs w:val="21"/>
        </w:rPr>
      </w:pPr>
    </w:p>
    <w:p>
      <w:pPr>
        <w:pStyle w:val="7"/>
        <w:jc w:val="both"/>
        <w:rPr>
          <w:rFonts w:hint="eastAsia" w:ascii="仿宋_GB2312" w:hAnsi="宋体" w:eastAsia="仿宋_GB2312" w:cs="仿宋_GB2312"/>
          <w:color w:val="000000"/>
          <w:szCs w:val="21"/>
        </w:rPr>
      </w:pPr>
    </w:p>
    <w:p>
      <w:pPr>
        <w:pStyle w:val="7"/>
        <w:jc w:val="both"/>
        <w:rPr>
          <w:rFonts w:hint="eastAsia" w:ascii="仿宋_GB2312" w:hAnsi="宋体" w:eastAsia="仿宋_GB2312" w:cs="仿宋_GB2312"/>
          <w:color w:val="000000"/>
          <w:szCs w:val="21"/>
        </w:rPr>
      </w:pPr>
    </w:p>
    <w:p>
      <w:pPr>
        <w:pStyle w:val="7"/>
        <w:jc w:val="both"/>
        <w:rPr>
          <w:rFonts w:hint="eastAsia" w:ascii="仿宋_GB2312" w:hAnsi="宋体" w:eastAsia="仿宋_GB2312" w:cs="仿宋_GB2312"/>
          <w:color w:val="000000"/>
          <w:szCs w:val="21"/>
        </w:rPr>
      </w:pPr>
    </w:p>
    <w:p>
      <w:pPr>
        <w:pStyle w:val="7"/>
        <w:jc w:val="both"/>
        <w:rPr>
          <w:rFonts w:hint="eastAsia" w:ascii="仿宋_GB2312" w:hAnsi="宋体" w:eastAsia="仿宋_GB2312" w:cs="仿宋_GB2312"/>
          <w:color w:val="000000"/>
          <w:szCs w:val="21"/>
        </w:rPr>
      </w:pPr>
    </w:p>
    <w:p>
      <w:pPr>
        <w:pStyle w:val="7"/>
        <w:jc w:val="both"/>
        <w:rPr>
          <w:rFonts w:hint="eastAsia" w:ascii="仿宋_GB2312" w:hAnsi="宋体" w:eastAsia="仿宋_GB2312" w:cs="仿宋_GB2312"/>
          <w:color w:val="000000"/>
          <w:szCs w:val="21"/>
        </w:rPr>
      </w:pPr>
    </w:p>
    <w:p>
      <w:pPr>
        <w:pStyle w:val="7"/>
        <w:jc w:val="both"/>
        <w:rPr>
          <w:rFonts w:hint="eastAsia" w:ascii="仿宋_GB2312" w:hAnsi="宋体" w:eastAsia="仿宋_GB2312" w:cs="仿宋_GB2312"/>
          <w:color w:val="000000"/>
          <w:szCs w:val="21"/>
        </w:rPr>
      </w:pPr>
    </w:p>
    <w:p>
      <w:pPr>
        <w:pStyle w:val="7"/>
        <w:jc w:val="both"/>
        <w:rPr>
          <w:rFonts w:hint="eastAsia" w:ascii="仿宋_GB2312" w:hAnsi="宋体" w:eastAsia="仿宋_GB2312" w:cs="仿宋_GB2312"/>
          <w:color w:val="000000"/>
          <w:szCs w:val="21"/>
        </w:rPr>
      </w:pPr>
    </w:p>
    <w:p>
      <w:pPr>
        <w:pStyle w:val="7"/>
        <w:jc w:val="both"/>
        <w:rPr>
          <w:rFonts w:hint="eastAsia" w:ascii="仿宋_GB2312" w:hAnsi="宋体" w:eastAsia="仿宋_GB2312" w:cs="仿宋_GB2312"/>
          <w:color w:val="000000"/>
          <w:szCs w:val="21"/>
        </w:rPr>
      </w:pPr>
    </w:p>
    <w:p>
      <w:pPr>
        <w:pStyle w:val="7"/>
        <w:jc w:val="both"/>
        <w:rPr>
          <w:rFonts w:hint="eastAsia" w:ascii="仿宋_GB2312" w:hAnsi="宋体" w:eastAsia="仿宋_GB2312" w:cs="仿宋_GB2312"/>
          <w:color w:val="000000"/>
          <w:szCs w:val="21"/>
        </w:rPr>
      </w:pPr>
    </w:p>
    <w:p>
      <w:pPr>
        <w:pStyle w:val="7"/>
        <w:jc w:val="both"/>
        <w:rPr>
          <w:rFonts w:hint="eastAsia" w:ascii="仿宋_GB2312" w:hAnsi="宋体" w:eastAsia="仿宋_GB2312" w:cs="仿宋_GB2312"/>
          <w:color w:val="000000"/>
          <w:szCs w:val="21"/>
        </w:rPr>
      </w:pPr>
    </w:p>
    <w:p>
      <w:pPr>
        <w:pStyle w:val="7"/>
        <w:jc w:val="both"/>
        <w:rPr>
          <w:rFonts w:hint="eastAsia" w:ascii="仿宋_GB2312" w:hAnsi="宋体" w:eastAsia="仿宋_GB2312" w:cs="仿宋_GB2312"/>
          <w:color w:val="000000"/>
          <w:szCs w:val="21"/>
        </w:rPr>
      </w:pPr>
    </w:p>
    <w:p>
      <w:pPr>
        <w:pStyle w:val="7"/>
        <w:jc w:val="both"/>
        <w:rPr>
          <w:rFonts w:hint="eastAsia" w:ascii="仿宋_GB2312" w:hAnsi="宋体" w:eastAsia="仿宋_GB2312" w:cs="仿宋_GB2312"/>
          <w:color w:val="000000"/>
          <w:szCs w:val="21"/>
        </w:rPr>
      </w:pPr>
    </w:p>
    <w:p>
      <w:pPr>
        <w:pStyle w:val="7"/>
        <w:jc w:val="both"/>
        <w:rPr>
          <w:rFonts w:hint="eastAsia" w:ascii="仿宋_GB2312" w:hAnsi="宋体" w:eastAsia="仿宋_GB2312" w:cs="仿宋_GB2312"/>
          <w:color w:val="000000"/>
          <w:szCs w:val="21"/>
        </w:rPr>
      </w:pPr>
    </w:p>
    <w:p>
      <w:pPr>
        <w:pStyle w:val="7"/>
        <w:jc w:val="both"/>
        <w:rPr>
          <w:rFonts w:hint="eastAsia" w:ascii="仿宋_GB2312" w:hAnsi="宋体" w:eastAsia="仿宋_GB2312" w:cs="仿宋_GB2312"/>
          <w:color w:val="000000"/>
          <w:szCs w:val="21"/>
        </w:rPr>
      </w:pPr>
    </w:p>
    <w:p>
      <w:pPr>
        <w:pStyle w:val="7"/>
        <w:jc w:val="both"/>
      </w:pPr>
      <w:r>
        <w:rPr>
          <w:rFonts w:hint="eastAsia" w:ascii="仿宋_GB2312" w:hAnsi="宋体" w:eastAsia="仿宋_GB2312" w:cs="仿宋_GB2312"/>
          <w:color w:val="000000"/>
          <w:szCs w:val="21"/>
        </w:rPr>
        <w:t>附表</w:t>
      </w:r>
      <w:r>
        <w:rPr>
          <w:rFonts w:ascii="仿宋_GB2312" w:hAnsi="宋体" w:eastAsia="仿宋_GB2312" w:cs="仿宋_GB2312"/>
          <w:color w:val="000000"/>
          <w:szCs w:val="21"/>
        </w:rPr>
        <w:t>1-5</w:t>
      </w:r>
    </w:p>
    <w:p>
      <w:pPr>
        <w:jc w:val="center"/>
        <w:rPr>
          <w:rFonts w:ascii="黑体" w:hAnsi="宋体" w:eastAsia="黑体" w:cs="黑体"/>
          <w:b/>
          <w:bCs/>
          <w:color w:val="000000"/>
          <w:kern w:val="0"/>
          <w:sz w:val="32"/>
          <w:szCs w:val="32"/>
        </w:rPr>
      </w:pPr>
      <w:r>
        <w:rPr>
          <w:rFonts w:ascii="黑体" w:hAnsi="宋体" w:eastAsia="黑体" w:cs="黑体"/>
          <w:b/>
          <w:bCs/>
          <w:color w:val="000000"/>
          <w:kern w:val="0"/>
          <w:sz w:val="32"/>
          <w:szCs w:val="32"/>
        </w:rPr>
        <w:t>202</w:t>
      </w:r>
      <w:r>
        <w:rPr>
          <w:rFonts w:hint="eastAsia" w:ascii="黑体" w:hAnsi="宋体" w:eastAsia="黑体" w:cs="黑体"/>
          <w:b/>
          <w:bCs/>
          <w:color w:val="000000"/>
          <w:kern w:val="0"/>
          <w:sz w:val="32"/>
          <w:szCs w:val="32"/>
          <w:lang w:val="en-US" w:eastAsia="zh-CN"/>
        </w:rPr>
        <w:t>4</w:t>
      </w:r>
      <w:r>
        <w:rPr>
          <w:rFonts w:hint="eastAsia" w:ascii="黑体" w:hAnsi="宋体" w:eastAsia="黑体" w:cs="黑体"/>
          <w:b/>
          <w:bCs/>
          <w:color w:val="000000"/>
          <w:kern w:val="0"/>
          <w:sz w:val="32"/>
          <w:szCs w:val="32"/>
        </w:rPr>
        <w:t>年社会保险基金收入预算完成情况表</w:t>
      </w:r>
    </w:p>
    <w:p>
      <w:pPr>
        <w:pStyle w:val="7"/>
        <w:spacing w:before="0" w:after="0"/>
      </w:pPr>
      <w:r>
        <w:rPr>
          <w:rFonts w:ascii="宋体" w:hAnsi="宋体" w:cs="宋体"/>
          <w:color w:val="000000"/>
          <w:sz w:val="20"/>
          <w:szCs w:val="20"/>
        </w:rPr>
        <w:t xml:space="preserve">                                                         </w:t>
      </w:r>
      <w:r>
        <w:rPr>
          <w:rFonts w:hint="eastAsia" w:ascii="宋体" w:hAnsi="宋体" w:cs="宋体"/>
          <w:color w:val="000000"/>
          <w:sz w:val="20"/>
          <w:szCs w:val="20"/>
        </w:rPr>
        <w:t>单位：万元</w:t>
      </w:r>
    </w:p>
    <w:tbl>
      <w:tblPr>
        <w:tblStyle w:val="8"/>
        <w:tblW w:w="8807" w:type="dxa"/>
        <w:jc w:val="center"/>
        <w:tblLayout w:type="fixed"/>
        <w:tblCellMar>
          <w:top w:w="0" w:type="dxa"/>
          <w:left w:w="108" w:type="dxa"/>
          <w:bottom w:w="0" w:type="dxa"/>
          <w:right w:w="108" w:type="dxa"/>
        </w:tblCellMar>
      </w:tblPr>
      <w:tblGrid>
        <w:gridCol w:w="3855"/>
        <w:gridCol w:w="1643"/>
        <w:gridCol w:w="1749"/>
        <w:gridCol w:w="1488"/>
        <w:gridCol w:w="72"/>
      </w:tblGrid>
      <w:tr>
        <w:tblPrEx>
          <w:tblCellMar>
            <w:top w:w="0" w:type="dxa"/>
            <w:left w:w="108" w:type="dxa"/>
            <w:bottom w:w="0" w:type="dxa"/>
            <w:right w:w="108" w:type="dxa"/>
          </w:tblCellMar>
        </w:tblPrEx>
        <w:trPr>
          <w:trHeight w:val="170" w:hRule="atLeast"/>
          <w:jc w:val="center"/>
        </w:trPr>
        <w:tc>
          <w:tcPr>
            <w:tcW w:w="385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宋体" w:cs="宋体"/>
                <w:b/>
                <w:bCs/>
                <w:color w:val="000000"/>
                <w:sz w:val="22"/>
                <w:szCs w:val="22"/>
              </w:rPr>
            </w:pPr>
            <w:r>
              <w:rPr>
                <w:rFonts w:hint="eastAsia" w:ascii="宋体" w:hAnsi="宋体" w:cs="宋体"/>
                <w:b/>
                <w:bCs/>
                <w:color w:val="000000"/>
                <w:kern w:val="0"/>
                <w:sz w:val="22"/>
                <w:szCs w:val="22"/>
              </w:rPr>
              <w:t>收入项目</w:t>
            </w:r>
          </w:p>
        </w:tc>
        <w:tc>
          <w:tcPr>
            <w:tcW w:w="164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宋体" w:cs="宋体"/>
                <w:b/>
                <w:bCs/>
                <w:color w:val="000000"/>
                <w:sz w:val="22"/>
                <w:szCs w:val="22"/>
              </w:rPr>
            </w:pPr>
            <w:r>
              <w:rPr>
                <w:rFonts w:hint="eastAsia" w:ascii="宋体" w:hAnsi="宋体" w:cs="宋体"/>
                <w:b/>
                <w:bCs/>
                <w:color w:val="000000"/>
                <w:kern w:val="0"/>
                <w:sz w:val="22"/>
                <w:szCs w:val="22"/>
              </w:rPr>
              <w:t>调整预算数</w:t>
            </w:r>
          </w:p>
        </w:tc>
        <w:tc>
          <w:tcPr>
            <w:tcW w:w="1749"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宋体" w:cs="宋体"/>
                <w:b/>
                <w:bCs/>
                <w:color w:val="000000"/>
                <w:sz w:val="22"/>
                <w:szCs w:val="22"/>
              </w:rPr>
            </w:pPr>
            <w:r>
              <w:rPr>
                <w:rFonts w:hint="eastAsia" w:ascii="宋体" w:hAnsi="宋体" w:cs="宋体"/>
                <w:b/>
                <w:bCs/>
                <w:color w:val="000000"/>
                <w:kern w:val="0"/>
                <w:sz w:val="22"/>
                <w:szCs w:val="22"/>
              </w:rPr>
              <w:t>完成数</w:t>
            </w:r>
          </w:p>
        </w:tc>
        <w:tc>
          <w:tcPr>
            <w:tcW w:w="156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宋体" w:cs="宋体"/>
                <w:b/>
                <w:bCs/>
                <w:color w:val="000000"/>
                <w:sz w:val="22"/>
                <w:szCs w:val="22"/>
              </w:rPr>
            </w:pPr>
            <w:r>
              <w:rPr>
                <w:rFonts w:hint="eastAsia" w:ascii="宋体" w:hAnsi="宋体" w:cs="宋体"/>
                <w:b/>
                <w:bCs/>
                <w:color w:val="000000"/>
                <w:kern w:val="0"/>
                <w:sz w:val="22"/>
                <w:szCs w:val="22"/>
              </w:rPr>
              <w:t>占调整预算（</w:t>
            </w:r>
            <w:r>
              <w:rPr>
                <w:rFonts w:ascii="宋体" w:hAnsi="宋体" w:cs="宋体"/>
                <w:b/>
                <w:bCs/>
                <w:color w:val="000000"/>
                <w:kern w:val="0"/>
                <w:sz w:val="22"/>
                <w:szCs w:val="22"/>
              </w:rPr>
              <w:t>%</w:t>
            </w:r>
            <w:r>
              <w:rPr>
                <w:rFonts w:hint="eastAsia" w:ascii="宋体" w:hAnsi="宋体" w:cs="宋体"/>
                <w:b/>
                <w:bCs/>
                <w:color w:val="000000"/>
                <w:kern w:val="0"/>
                <w:sz w:val="22"/>
                <w:szCs w:val="22"/>
              </w:rPr>
              <w:t>）</w:t>
            </w:r>
          </w:p>
        </w:tc>
      </w:tr>
      <w:tr>
        <w:tblPrEx>
          <w:tblCellMar>
            <w:top w:w="0" w:type="dxa"/>
            <w:left w:w="108" w:type="dxa"/>
            <w:bottom w:w="0" w:type="dxa"/>
            <w:right w:w="108" w:type="dxa"/>
          </w:tblCellMar>
        </w:tblPrEx>
        <w:trPr>
          <w:trHeight w:val="375" w:hRule="atLeast"/>
          <w:jc w:val="center"/>
        </w:trPr>
        <w:tc>
          <w:tcPr>
            <w:tcW w:w="385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宋体" w:cs="宋体"/>
                <w:b/>
                <w:bCs/>
                <w:color w:val="000000"/>
                <w:sz w:val="20"/>
                <w:szCs w:val="20"/>
              </w:rPr>
            </w:pPr>
            <w:r>
              <w:rPr>
                <w:rFonts w:hint="eastAsia" w:ascii="宋体" w:hAnsi="宋体" w:cs="宋体"/>
                <w:b/>
                <w:bCs/>
                <w:color w:val="000000"/>
                <w:kern w:val="0"/>
                <w:sz w:val="20"/>
                <w:szCs w:val="20"/>
              </w:rPr>
              <w:t>合</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计</w:t>
            </w:r>
          </w:p>
        </w:tc>
        <w:tc>
          <w:tcPr>
            <w:tcW w:w="1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58179</w:t>
            </w:r>
          </w:p>
        </w:tc>
        <w:tc>
          <w:tcPr>
            <w:tcW w:w="1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58179</w:t>
            </w:r>
          </w:p>
        </w:tc>
        <w:tc>
          <w:tcPr>
            <w:tcW w:w="15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375" w:hRule="atLeast"/>
          <w:jc w:val="center"/>
        </w:trPr>
        <w:tc>
          <w:tcPr>
            <w:tcW w:w="385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ascii="宋体" w:cs="宋体"/>
                <w:b/>
                <w:bCs/>
                <w:color w:val="000000"/>
                <w:sz w:val="20"/>
                <w:szCs w:val="20"/>
              </w:rPr>
            </w:pPr>
            <w:r>
              <w:rPr>
                <w:rFonts w:hint="eastAsia" w:ascii="宋体" w:hAnsi="宋体" w:cs="宋体"/>
                <w:b/>
                <w:bCs/>
                <w:color w:val="000000"/>
                <w:kern w:val="0"/>
                <w:sz w:val="20"/>
                <w:szCs w:val="20"/>
              </w:rPr>
              <w:t>一、机关事业单位基本养老保险基金收入</w:t>
            </w:r>
          </w:p>
        </w:tc>
        <w:tc>
          <w:tcPr>
            <w:tcW w:w="1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38216</w:t>
            </w:r>
          </w:p>
        </w:tc>
        <w:tc>
          <w:tcPr>
            <w:tcW w:w="1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38216</w:t>
            </w:r>
          </w:p>
        </w:tc>
        <w:tc>
          <w:tcPr>
            <w:tcW w:w="15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375" w:hRule="atLeast"/>
          <w:jc w:val="center"/>
        </w:trPr>
        <w:tc>
          <w:tcPr>
            <w:tcW w:w="385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其中：保险费收入</w:t>
            </w:r>
          </w:p>
        </w:tc>
        <w:tc>
          <w:tcPr>
            <w:tcW w:w="1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20821</w:t>
            </w:r>
          </w:p>
        </w:tc>
        <w:tc>
          <w:tcPr>
            <w:tcW w:w="1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20821</w:t>
            </w:r>
          </w:p>
        </w:tc>
        <w:tc>
          <w:tcPr>
            <w:tcW w:w="15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375" w:hRule="atLeast"/>
          <w:jc w:val="center"/>
        </w:trPr>
        <w:tc>
          <w:tcPr>
            <w:tcW w:w="385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利息收入</w:t>
            </w:r>
          </w:p>
        </w:tc>
        <w:tc>
          <w:tcPr>
            <w:tcW w:w="1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20</w:t>
            </w:r>
          </w:p>
        </w:tc>
        <w:tc>
          <w:tcPr>
            <w:tcW w:w="1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20</w:t>
            </w:r>
          </w:p>
        </w:tc>
        <w:tc>
          <w:tcPr>
            <w:tcW w:w="15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375" w:hRule="atLeast"/>
          <w:jc w:val="center"/>
        </w:trPr>
        <w:tc>
          <w:tcPr>
            <w:tcW w:w="385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财政补贴收入</w:t>
            </w:r>
          </w:p>
        </w:tc>
        <w:tc>
          <w:tcPr>
            <w:tcW w:w="1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16820</w:t>
            </w:r>
          </w:p>
        </w:tc>
        <w:tc>
          <w:tcPr>
            <w:tcW w:w="1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16820</w:t>
            </w:r>
          </w:p>
        </w:tc>
        <w:tc>
          <w:tcPr>
            <w:tcW w:w="15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375" w:hRule="atLeast"/>
          <w:jc w:val="center"/>
        </w:trPr>
        <w:tc>
          <w:tcPr>
            <w:tcW w:w="385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上级补助收入</w:t>
            </w:r>
          </w:p>
        </w:tc>
        <w:tc>
          <w:tcPr>
            <w:tcW w:w="164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c>
          <w:tcPr>
            <w:tcW w:w="17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r>
      <w:tr>
        <w:trPr>
          <w:trHeight w:val="375" w:hRule="atLeast"/>
          <w:jc w:val="center"/>
        </w:trPr>
        <w:tc>
          <w:tcPr>
            <w:tcW w:w="385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转移收入</w:t>
            </w:r>
          </w:p>
        </w:tc>
        <w:tc>
          <w:tcPr>
            <w:tcW w:w="1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535</w:t>
            </w:r>
          </w:p>
        </w:tc>
        <w:tc>
          <w:tcPr>
            <w:tcW w:w="1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535</w:t>
            </w:r>
          </w:p>
        </w:tc>
        <w:tc>
          <w:tcPr>
            <w:tcW w:w="15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375" w:hRule="atLeast"/>
          <w:jc w:val="center"/>
        </w:trPr>
        <w:tc>
          <w:tcPr>
            <w:tcW w:w="385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其他收入</w:t>
            </w:r>
          </w:p>
        </w:tc>
        <w:tc>
          <w:tcPr>
            <w:tcW w:w="1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20</w:t>
            </w:r>
          </w:p>
        </w:tc>
        <w:tc>
          <w:tcPr>
            <w:tcW w:w="1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20</w:t>
            </w:r>
          </w:p>
        </w:tc>
        <w:tc>
          <w:tcPr>
            <w:tcW w:w="15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375" w:hRule="atLeast"/>
          <w:jc w:val="center"/>
        </w:trPr>
        <w:tc>
          <w:tcPr>
            <w:tcW w:w="385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ascii="宋体" w:cs="宋体"/>
                <w:b/>
                <w:bCs/>
                <w:color w:val="000000"/>
                <w:sz w:val="20"/>
                <w:szCs w:val="20"/>
              </w:rPr>
            </w:pPr>
            <w:r>
              <w:rPr>
                <w:rFonts w:hint="eastAsia" w:ascii="宋体" w:hAnsi="宋体" w:cs="宋体"/>
                <w:b/>
                <w:bCs/>
                <w:color w:val="000000"/>
                <w:kern w:val="0"/>
                <w:sz w:val="20"/>
                <w:szCs w:val="20"/>
              </w:rPr>
              <w:t>二、城乡居民基本养老保险基金收入</w:t>
            </w:r>
          </w:p>
        </w:tc>
        <w:tc>
          <w:tcPr>
            <w:tcW w:w="1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19963</w:t>
            </w:r>
          </w:p>
        </w:tc>
        <w:tc>
          <w:tcPr>
            <w:tcW w:w="1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19963</w:t>
            </w:r>
          </w:p>
        </w:tc>
        <w:tc>
          <w:tcPr>
            <w:tcW w:w="15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375" w:hRule="atLeast"/>
          <w:jc w:val="center"/>
        </w:trPr>
        <w:tc>
          <w:tcPr>
            <w:tcW w:w="385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其中：保险费收入</w:t>
            </w:r>
          </w:p>
        </w:tc>
        <w:tc>
          <w:tcPr>
            <w:tcW w:w="1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2774</w:t>
            </w:r>
          </w:p>
        </w:tc>
        <w:tc>
          <w:tcPr>
            <w:tcW w:w="1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2774</w:t>
            </w:r>
          </w:p>
        </w:tc>
        <w:tc>
          <w:tcPr>
            <w:tcW w:w="15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375" w:hRule="atLeast"/>
          <w:jc w:val="center"/>
        </w:trPr>
        <w:tc>
          <w:tcPr>
            <w:tcW w:w="385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利息收入</w:t>
            </w:r>
          </w:p>
        </w:tc>
        <w:tc>
          <w:tcPr>
            <w:tcW w:w="1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220</w:t>
            </w:r>
          </w:p>
        </w:tc>
        <w:tc>
          <w:tcPr>
            <w:tcW w:w="1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220</w:t>
            </w:r>
          </w:p>
        </w:tc>
        <w:tc>
          <w:tcPr>
            <w:tcW w:w="15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375" w:hRule="atLeast"/>
          <w:jc w:val="center"/>
        </w:trPr>
        <w:tc>
          <w:tcPr>
            <w:tcW w:w="385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财政补贴收入</w:t>
            </w:r>
          </w:p>
        </w:tc>
        <w:tc>
          <w:tcPr>
            <w:tcW w:w="1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16238</w:t>
            </w:r>
          </w:p>
        </w:tc>
        <w:tc>
          <w:tcPr>
            <w:tcW w:w="1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16238</w:t>
            </w:r>
          </w:p>
        </w:tc>
        <w:tc>
          <w:tcPr>
            <w:tcW w:w="15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375" w:hRule="atLeast"/>
          <w:jc w:val="center"/>
        </w:trPr>
        <w:tc>
          <w:tcPr>
            <w:tcW w:w="385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ascii="宋体" w:cs="宋体"/>
                <w:color w:val="000000"/>
                <w:sz w:val="20"/>
                <w:szCs w:val="20"/>
              </w:rPr>
            </w:pPr>
            <w:r>
              <w:rPr>
                <w:rFonts w:hint="eastAsia" w:ascii="宋体" w:hAnsi="宋体" w:cs="宋体"/>
                <w:color w:val="000000"/>
                <w:kern w:val="0"/>
                <w:sz w:val="20"/>
                <w:szCs w:val="20"/>
              </w:rPr>
              <w:t>委托投资收益</w:t>
            </w:r>
          </w:p>
        </w:tc>
        <w:tc>
          <w:tcPr>
            <w:tcW w:w="1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723</w:t>
            </w:r>
          </w:p>
        </w:tc>
        <w:tc>
          <w:tcPr>
            <w:tcW w:w="1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723</w:t>
            </w:r>
          </w:p>
        </w:tc>
        <w:tc>
          <w:tcPr>
            <w:tcW w:w="15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375" w:hRule="atLeast"/>
          <w:jc w:val="center"/>
        </w:trPr>
        <w:tc>
          <w:tcPr>
            <w:tcW w:w="385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转移收入</w:t>
            </w:r>
          </w:p>
        </w:tc>
        <w:tc>
          <w:tcPr>
            <w:tcW w:w="1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5</w:t>
            </w:r>
          </w:p>
        </w:tc>
        <w:tc>
          <w:tcPr>
            <w:tcW w:w="1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5</w:t>
            </w:r>
          </w:p>
        </w:tc>
        <w:tc>
          <w:tcPr>
            <w:tcW w:w="15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375" w:hRule="atLeast"/>
          <w:jc w:val="center"/>
        </w:trPr>
        <w:tc>
          <w:tcPr>
            <w:tcW w:w="385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其他收入</w:t>
            </w:r>
          </w:p>
        </w:tc>
        <w:tc>
          <w:tcPr>
            <w:tcW w:w="16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3</w:t>
            </w:r>
          </w:p>
        </w:tc>
        <w:tc>
          <w:tcPr>
            <w:tcW w:w="17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3</w:t>
            </w:r>
          </w:p>
        </w:tc>
        <w:tc>
          <w:tcPr>
            <w:tcW w:w="156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375" w:hRule="atLeast"/>
          <w:jc w:val="center"/>
        </w:trPr>
        <w:tc>
          <w:tcPr>
            <w:tcW w:w="385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ascii="宋体" w:cs="宋体"/>
                <w:b/>
                <w:bCs/>
                <w:color w:val="000000"/>
                <w:sz w:val="20"/>
                <w:szCs w:val="20"/>
              </w:rPr>
            </w:pPr>
            <w:r>
              <w:rPr>
                <w:rFonts w:hint="eastAsia" w:ascii="宋体" w:hAnsi="宋体" w:cs="宋体"/>
                <w:b/>
                <w:bCs/>
                <w:color w:val="000000"/>
                <w:kern w:val="0"/>
                <w:sz w:val="20"/>
                <w:szCs w:val="20"/>
              </w:rPr>
              <w:t>三、职工基本医疗保险基金收入</w:t>
            </w:r>
          </w:p>
        </w:tc>
        <w:tc>
          <w:tcPr>
            <w:tcW w:w="164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宋体" w:cs="宋体"/>
                <w:color w:val="000000"/>
                <w:sz w:val="18"/>
                <w:szCs w:val="18"/>
              </w:rPr>
            </w:pPr>
          </w:p>
        </w:tc>
        <w:tc>
          <w:tcPr>
            <w:tcW w:w="1749"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宋体" w:cs="宋体"/>
                <w:color w:val="000000"/>
                <w:sz w:val="18"/>
                <w:szCs w:val="18"/>
              </w:rPr>
            </w:pPr>
          </w:p>
        </w:tc>
        <w:tc>
          <w:tcPr>
            <w:tcW w:w="156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宋体" w:cs="宋体"/>
                <w:color w:val="000000"/>
                <w:sz w:val="20"/>
                <w:szCs w:val="20"/>
              </w:rPr>
            </w:pPr>
          </w:p>
        </w:tc>
      </w:tr>
      <w:tr>
        <w:trPr>
          <w:trHeight w:val="375" w:hRule="atLeast"/>
          <w:jc w:val="center"/>
        </w:trPr>
        <w:tc>
          <w:tcPr>
            <w:tcW w:w="385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其中：保险费收入</w:t>
            </w:r>
          </w:p>
        </w:tc>
        <w:tc>
          <w:tcPr>
            <w:tcW w:w="164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宋体" w:cs="宋体"/>
                <w:color w:val="000000"/>
                <w:sz w:val="18"/>
                <w:szCs w:val="18"/>
              </w:rPr>
            </w:pPr>
          </w:p>
        </w:tc>
        <w:tc>
          <w:tcPr>
            <w:tcW w:w="1749"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宋体" w:cs="宋体"/>
                <w:color w:val="000000"/>
                <w:sz w:val="18"/>
                <w:szCs w:val="18"/>
              </w:rPr>
            </w:pPr>
          </w:p>
        </w:tc>
        <w:tc>
          <w:tcPr>
            <w:tcW w:w="156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宋体" w:cs="宋体"/>
                <w:color w:val="000000"/>
                <w:sz w:val="20"/>
                <w:szCs w:val="20"/>
              </w:rPr>
            </w:pPr>
          </w:p>
        </w:tc>
      </w:tr>
      <w:tr>
        <w:tblPrEx>
          <w:tblCellMar>
            <w:top w:w="0" w:type="dxa"/>
            <w:left w:w="108" w:type="dxa"/>
            <w:bottom w:w="0" w:type="dxa"/>
            <w:right w:w="108" w:type="dxa"/>
          </w:tblCellMar>
        </w:tblPrEx>
        <w:trPr>
          <w:trHeight w:val="375" w:hRule="atLeast"/>
          <w:jc w:val="center"/>
        </w:trPr>
        <w:tc>
          <w:tcPr>
            <w:tcW w:w="385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财政补贴收入</w:t>
            </w:r>
          </w:p>
        </w:tc>
        <w:tc>
          <w:tcPr>
            <w:tcW w:w="164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宋体" w:cs="宋体"/>
                <w:color w:val="000000"/>
                <w:sz w:val="18"/>
                <w:szCs w:val="18"/>
              </w:rPr>
            </w:pPr>
          </w:p>
        </w:tc>
        <w:tc>
          <w:tcPr>
            <w:tcW w:w="1749"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宋体" w:cs="宋体"/>
                <w:color w:val="000000"/>
                <w:sz w:val="18"/>
                <w:szCs w:val="18"/>
              </w:rPr>
            </w:pPr>
          </w:p>
        </w:tc>
        <w:tc>
          <w:tcPr>
            <w:tcW w:w="156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宋体" w:cs="宋体"/>
                <w:color w:val="000000"/>
                <w:sz w:val="20"/>
                <w:szCs w:val="20"/>
              </w:rPr>
            </w:pPr>
          </w:p>
        </w:tc>
      </w:tr>
      <w:tr>
        <w:tblPrEx>
          <w:tblCellMar>
            <w:top w:w="0" w:type="dxa"/>
            <w:left w:w="108" w:type="dxa"/>
            <w:bottom w:w="0" w:type="dxa"/>
            <w:right w:w="108" w:type="dxa"/>
          </w:tblCellMar>
        </w:tblPrEx>
        <w:trPr>
          <w:trHeight w:val="375" w:hRule="atLeast"/>
          <w:jc w:val="center"/>
        </w:trPr>
        <w:tc>
          <w:tcPr>
            <w:tcW w:w="385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利息收入</w:t>
            </w:r>
          </w:p>
        </w:tc>
        <w:tc>
          <w:tcPr>
            <w:tcW w:w="164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宋体" w:cs="宋体"/>
                <w:color w:val="000000"/>
                <w:sz w:val="18"/>
                <w:szCs w:val="18"/>
              </w:rPr>
            </w:pPr>
          </w:p>
        </w:tc>
        <w:tc>
          <w:tcPr>
            <w:tcW w:w="1749"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宋体" w:cs="宋体"/>
                <w:color w:val="000000"/>
                <w:sz w:val="18"/>
                <w:szCs w:val="18"/>
              </w:rPr>
            </w:pPr>
          </w:p>
        </w:tc>
        <w:tc>
          <w:tcPr>
            <w:tcW w:w="156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宋体" w:cs="宋体"/>
                <w:color w:val="000000"/>
                <w:sz w:val="20"/>
                <w:szCs w:val="20"/>
              </w:rPr>
            </w:pPr>
          </w:p>
        </w:tc>
      </w:tr>
      <w:tr>
        <w:tblPrEx>
          <w:tblCellMar>
            <w:top w:w="0" w:type="dxa"/>
            <w:left w:w="108" w:type="dxa"/>
            <w:bottom w:w="0" w:type="dxa"/>
            <w:right w:w="108" w:type="dxa"/>
          </w:tblCellMar>
        </w:tblPrEx>
        <w:trPr>
          <w:trHeight w:val="375" w:hRule="atLeast"/>
          <w:jc w:val="center"/>
        </w:trPr>
        <w:tc>
          <w:tcPr>
            <w:tcW w:w="385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ascii="宋体" w:cs="宋体"/>
                <w:b/>
                <w:bCs/>
                <w:color w:val="000000"/>
                <w:sz w:val="20"/>
                <w:szCs w:val="20"/>
              </w:rPr>
            </w:pPr>
            <w:r>
              <w:rPr>
                <w:rFonts w:hint="eastAsia" w:ascii="宋体" w:hAnsi="宋体" w:cs="宋体"/>
                <w:b/>
                <w:bCs/>
                <w:color w:val="000000"/>
                <w:kern w:val="0"/>
                <w:sz w:val="20"/>
                <w:szCs w:val="20"/>
              </w:rPr>
              <w:t>四、城乡居民基本医疗保险基金收入</w:t>
            </w:r>
          </w:p>
        </w:tc>
        <w:tc>
          <w:tcPr>
            <w:tcW w:w="164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宋体" w:cs="宋体"/>
                <w:color w:val="000000"/>
                <w:sz w:val="18"/>
                <w:szCs w:val="18"/>
              </w:rPr>
            </w:pPr>
          </w:p>
        </w:tc>
        <w:tc>
          <w:tcPr>
            <w:tcW w:w="1749"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宋体" w:cs="宋体"/>
                <w:color w:val="000000"/>
                <w:sz w:val="18"/>
                <w:szCs w:val="18"/>
              </w:rPr>
            </w:pPr>
          </w:p>
        </w:tc>
        <w:tc>
          <w:tcPr>
            <w:tcW w:w="156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宋体" w:cs="宋体"/>
                <w:color w:val="000000"/>
                <w:sz w:val="20"/>
                <w:szCs w:val="20"/>
              </w:rPr>
            </w:pPr>
          </w:p>
        </w:tc>
      </w:tr>
      <w:tr>
        <w:tblPrEx>
          <w:tblCellMar>
            <w:top w:w="0" w:type="dxa"/>
            <w:left w:w="108" w:type="dxa"/>
            <w:bottom w:w="0" w:type="dxa"/>
            <w:right w:w="108" w:type="dxa"/>
          </w:tblCellMar>
        </w:tblPrEx>
        <w:trPr>
          <w:trHeight w:val="375" w:hRule="atLeast"/>
          <w:jc w:val="center"/>
        </w:trPr>
        <w:tc>
          <w:tcPr>
            <w:tcW w:w="385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其中：保险费收入</w:t>
            </w:r>
          </w:p>
        </w:tc>
        <w:tc>
          <w:tcPr>
            <w:tcW w:w="164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宋体" w:cs="宋体"/>
                <w:color w:val="000000"/>
                <w:sz w:val="18"/>
                <w:szCs w:val="18"/>
              </w:rPr>
            </w:pPr>
          </w:p>
        </w:tc>
        <w:tc>
          <w:tcPr>
            <w:tcW w:w="1749"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宋体" w:cs="宋体"/>
                <w:color w:val="000000"/>
                <w:sz w:val="18"/>
                <w:szCs w:val="18"/>
              </w:rPr>
            </w:pPr>
          </w:p>
        </w:tc>
        <w:tc>
          <w:tcPr>
            <w:tcW w:w="156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宋体" w:cs="宋体"/>
                <w:color w:val="000000"/>
                <w:sz w:val="20"/>
                <w:szCs w:val="20"/>
              </w:rPr>
            </w:pPr>
          </w:p>
        </w:tc>
      </w:tr>
      <w:tr>
        <w:tblPrEx>
          <w:tblCellMar>
            <w:top w:w="0" w:type="dxa"/>
            <w:left w:w="108" w:type="dxa"/>
            <w:bottom w:w="0" w:type="dxa"/>
            <w:right w:w="108" w:type="dxa"/>
          </w:tblCellMar>
        </w:tblPrEx>
        <w:trPr>
          <w:trHeight w:val="375" w:hRule="atLeast"/>
          <w:jc w:val="center"/>
        </w:trPr>
        <w:tc>
          <w:tcPr>
            <w:tcW w:w="385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利息收入</w:t>
            </w:r>
          </w:p>
        </w:tc>
        <w:tc>
          <w:tcPr>
            <w:tcW w:w="164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宋体" w:cs="宋体"/>
                <w:color w:val="000000"/>
                <w:sz w:val="18"/>
                <w:szCs w:val="18"/>
              </w:rPr>
            </w:pPr>
          </w:p>
        </w:tc>
        <w:tc>
          <w:tcPr>
            <w:tcW w:w="1749"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宋体" w:cs="宋体"/>
                <w:color w:val="000000"/>
                <w:sz w:val="18"/>
                <w:szCs w:val="18"/>
              </w:rPr>
            </w:pPr>
          </w:p>
        </w:tc>
        <w:tc>
          <w:tcPr>
            <w:tcW w:w="156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宋体" w:cs="宋体"/>
                <w:color w:val="000000"/>
                <w:sz w:val="20"/>
                <w:szCs w:val="20"/>
              </w:rPr>
            </w:pPr>
          </w:p>
        </w:tc>
      </w:tr>
      <w:tr>
        <w:tblPrEx>
          <w:tblCellMar>
            <w:top w:w="0" w:type="dxa"/>
            <w:left w:w="108" w:type="dxa"/>
            <w:bottom w:w="0" w:type="dxa"/>
            <w:right w:w="108" w:type="dxa"/>
          </w:tblCellMar>
        </w:tblPrEx>
        <w:trPr>
          <w:trHeight w:val="375" w:hRule="atLeast"/>
          <w:jc w:val="center"/>
        </w:trPr>
        <w:tc>
          <w:tcPr>
            <w:tcW w:w="3855"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财政补贴收入</w:t>
            </w:r>
          </w:p>
        </w:tc>
        <w:tc>
          <w:tcPr>
            <w:tcW w:w="1643"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宋体" w:cs="宋体"/>
                <w:color w:val="000000"/>
                <w:sz w:val="18"/>
                <w:szCs w:val="18"/>
              </w:rPr>
            </w:pPr>
          </w:p>
        </w:tc>
        <w:tc>
          <w:tcPr>
            <w:tcW w:w="1749"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宋体" w:cs="宋体"/>
                <w:color w:val="000000"/>
                <w:sz w:val="18"/>
                <w:szCs w:val="18"/>
              </w:rPr>
            </w:pPr>
          </w:p>
        </w:tc>
        <w:tc>
          <w:tcPr>
            <w:tcW w:w="156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宋体" w:cs="宋体"/>
                <w:color w:val="000000"/>
                <w:sz w:val="20"/>
                <w:szCs w:val="20"/>
              </w:rPr>
            </w:pPr>
          </w:p>
        </w:tc>
      </w:tr>
      <w:tr>
        <w:tblPrEx>
          <w:tblCellMar>
            <w:top w:w="0" w:type="dxa"/>
            <w:left w:w="108" w:type="dxa"/>
            <w:bottom w:w="0" w:type="dxa"/>
            <w:right w:w="108" w:type="dxa"/>
          </w:tblCellMar>
        </w:tblPrEx>
        <w:trPr>
          <w:trHeight w:val="375" w:hRule="atLeast"/>
          <w:jc w:val="center"/>
        </w:trPr>
        <w:tc>
          <w:tcPr>
            <w:tcW w:w="3855"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ascii="宋体" w:cs="宋体"/>
                <w:b/>
                <w:bCs/>
                <w:color w:val="000000"/>
                <w:sz w:val="20"/>
                <w:szCs w:val="20"/>
              </w:rPr>
            </w:pPr>
            <w:r>
              <w:rPr>
                <w:rFonts w:hint="eastAsia" w:ascii="宋体" w:hAnsi="宋体" w:cs="宋体"/>
                <w:b/>
                <w:bCs/>
                <w:color w:val="000000"/>
                <w:kern w:val="0"/>
                <w:sz w:val="20"/>
                <w:szCs w:val="20"/>
              </w:rPr>
              <w:t>五、企业职工基本养老保险基金收入</w:t>
            </w:r>
          </w:p>
        </w:tc>
        <w:tc>
          <w:tcPr>
            <w:tcW w:w="1643"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rPr>
                <w:rFonts w:ascii="宋体" w:cs="宋体"/>
                <w:color w:val="000000"/>
                <w:sz w:val="20"/>
                <w:szCs w:val="20"/>
              </w:rPr>
            </w:pPr>
          </w:p>
        </w:tc>
        <w:tc>
          <w:tcPr>
            <w:tcW w:w="1749"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rPr>
                <w:rFonts w:asci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rPr>
                <w:rFonts w:ascii="宋体" w:cs="宋体"/>
                <w:color w:val="000000"/>
                <w:sz w:val="20"/>
                <w:szCs w:val="20"/>
              </w:rPr>
            </w:pPr>
          </w:p>
        </w:tc>
      </w:tr>
      <w:tr>
        <w:tblPrEx>
          <w:tblCellMar>
            <w:top w:w="0" w:type="dxa"/>
            <w:left w:w="108" w:type="dxa"/>
            <w:bottom w:w="0" w:type="dxa"/>
            <w:right w:w="108" w:type="dxa"/>
          </w:tblCellMar>
        </w:tblPrEx>
        <w:trPr>
          <w:trHeight w:val="375" w:hRule="atLeast"/>
          <w:jc w:val="center"/>
        </w:trPr>
        <w:tc>
          <w:tcPr>
            <w:tcW w:w="3855"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ascii="宋体" w:cs="宋体"/>
                <w:b/>
                <w:bCs/>
                <w:color w:val="000000"/>
                <w:sz w:val="20"/>
                <w:szCs w:val="20"/>
              </w:rPr>
            </w:pPr>
            <w:r>
              <w:rPr>
                <w:rFonts w:hint="eastAsia" w:ascii="宋体" w:hAnsi="宋体" w:cs="宋体"/>
                <w:b/>
                <w:bCs/>
                <w:color w:val="000000"/>
                <w:kern w:val="0"/>
                <w:sz w:val="20"/>
                <w:szCs w:val="20"/>
              </w:rPr>
              <w:t>六、工伤保险基金收入</w:t>
            </w:r>
          </w:p>
        </w:tc>
        <w:tc>
          <w:tcPr>
            <w:tcW w:w="1643"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rPr>
                <w:rFonts w:ascii="宋体" w:cs="宋体"/>
                <w:color w:val="000000"/>
                <w:sz w:val="20"/>
                <w:szCs w:val="20"/>
              </w:rPr>
            </w:pPr>
          </w:p>
        </w:tc>
        <w:tc>
          <w:tcPr>
            <w:tcW w:w="1749"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rPr>
                <w:rFonts w:asci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rPr>
                <w:rFonts w:ascii="宋体" w:cs="宋体"/>
                <w:color w:val="000000"/>
                <w:sz w:val="20"/>
                <w:szCs w:val="20"/>
              </w:rPr>
            </w:pPr>
          </w:p>
        </w:tc>
      </w:tr>
      <w:tr>
        <w:tblPrEx>
          <w:tblCellMar>
            <w:top w:w="0" w:type="dxa"/>
            <w:left w:w="108" w:type="dxa"/>
            <w:bottom w:w="0" w:type="dxa"/>
            <w:right w:w="108" w:type="dxa"/>
          </w:tblCellMar>
        </w:tblPrEx>
        <w:trPr>
          <w:trHeight w:val="375" w:hRule="atLeast"/>
          <w:jc w:val="center"/>
        </w:trPr>
        <w:tc>
          <w:tcPr>
            <w:tcW w:w="3855"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ascii="宋体" w:cs="宋体"/>
                <w:b/>
                <w:bCs/>
                <w:color w:val="000000"/>
                <w:sz w:val="20"/>
                <w:szCs w:val="20"/>
              </w:rPr>
            </w:pPr>
            <w:r>
              <w:rPr>
                <w:rFonts w:hint="eastAsia" w:ascii="宋体" w:hAnsi="宋体" w:cs="宋体"/>
                <w:b/>
                <w:bCs/>
                <w:color w:val="000000"/>
                <w:kern w:val="0"/>
                <w:sz w:val="20"/>
                <w:szCs w:val="20"/>
              </w:rPr>
              <w:t>七、失业保险基金收入</w:t>
            </w:r>
          </w:p>
        </w:tc>
        <w:tc>
          <w:tcPr>
            <w:tcW w:w="1643"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rPr>
                <w:rFonts w:ascii="宋体" w:cs="宋体"/>
                <w:color w:val="000000"/>
                <w:sz w:val="20"/>
                <w:szCs w:val="20"/>
              </w:rPr>
            </w:pPr>
          </w:p>
        </w:tc>
        <w:tc>
          <w:tcPr>
            <w:tcW w:w="1749"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rPr>
                <w:rFonts w:asci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rPr>
                <w:rFonts w:ascii="宋体" w:cs="宋体"/>
                <w:color w:val="000000"/>
                <w:sz w:val="20"/>
                <w:szCs w:val="20"/>
              </w:rPr>
            </w:pPr>
          </w:p>
        </w:tc>
      </w:tr>
      <w:tr>
        <w:tblPrEx>
          <w:tblCellMar>
            <w:top w:w="0" w:type="dxa"/>
            <w:left w:w="108" w:type="dxa"/>
            <w:bottom w:w="0" w:type="dxa"/>
            <w:right w:w="108" w:type="dxa"/>
          </w:tblCellMar>
        </w:tblPrEx>
        <w:trPr>
          <w:trHeight w:val="375" w:hRule="atLeast"/>
          <w:jc w:val="center"/>
        </w:trPr>
        <w:tc>
          <w:tcPr>
            <w:tcW w:w="3855"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ascii="宋体" w:cs="宋体"/>
                <w:b/>
                <w:bCs/>
                <w:color w:val="000000"/>
                <w:sz w:val="20"/>
                <w:szCs w:val="20"/>
              </w:rPr>
            </w:pPr>
            <w:r>
              <w:rPr>
                <w:rFonts w:hint="eastAsia" w:ascii="宋体" w:hAnsi="宋体" w:cs="宋体"/>
                <w:b/>
                <w:bCs/>
                <w:color w:val="000000"/>
                <w:kern w:val="0"/>
                <w:sz w:val="20"/>
                <w:szCs w:val="20"/>
              </w:rPr>
              <w:t>八、生育保险基金收入</w:t>
            </w:r>
          </w:p>
        </w:tc>
        <w:tc>
          <w:tcPr>
            <w:tcW w:w="1643"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rPr>
                <w:rFonts w:ascii="宋体" w:cs="宋体"/>
                <w:color w:val="000000"/>
                <w:sz w:val="20"/>
                <w:szCs w:val="20"/>
              </w:rPr>
            </w:pPr>
          </w:p>
        </w:tc>
        <w:tc>
          <w:tcPr>
            <w:tcW w:w="1749"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rPr>
                <w:rFonts w:ascii="宋体" w:cs="宋体"/>
                <w:color w:val="000000"/>
                <w:sz w:val="20"/>
                <w:szCs w:val="20"/>
              </w:rPr>
            </w:pPr>
          </w:p>
        </w:tc>
        <w:tc>
          <w:tcPr>
            <w:tcW w:w="156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rPr>
                <w:rFonts w:ascii="宋体" w:cs="宋体"/>
                <w:color w:val="000000"/>
                <w:sz w:val="20"/>
                <w:szCs w:val="20"/>
              </w:rPr>
            </w:pPr>
          </w:p>
        </w:tc>
      </w:tr>
      <w:tr>
        <w:tblPrEx>
          <w:tblCellMar>
            <w:top w:w="0" w:type="dxa"/>
            <w:left w:w="108" w:type="dxa"/>
            <w:bottom w:w="0" w:type="dxa"/>
            <w:right w:w="108" w:type="dxa"/>
          </w:tblCellMar>
        </w:tblPrEx>
        <w:trPr>
          <w:gridAfter w:val="1"/>
          <w:wAfter w:w="72" w:type="dxa"/>
          <w:trHeight w:val="720" w:hRule="atLeast"/>
          <w:jc w:val="center"/>
        </w:trPr>
        <w:tc>
          <w:tcPr>
            <w:tcW w:w="8735" w:type="dxa"/>
            <w:gridSpan w:val="4"/>
            <w:tcBorders>
              <w:top w:val="nil"/>
              <w:left w:val="nil"/>
              <w:bottom w:val="nil"/>
              <w:right w:val="nil"/>
            </w:tcBorders>
            <w:noWrap/>
            <w:vAlign w:val="center"/>
          </w:tcPr>
          <w:p>
            <w:pPr>
              <w:widowControl/>
              <w:spacing w:line="280" w:lineRule="exact"/>
              <w:jc w:val="left"/>
              <w:textAlignment w:val="center"/>
              <w:rPr>
                <w:rFonts w:ascii="楷体_GB2312" w:hAnsi="宋体" w:eastAsia="楷体_GB2312" w:cs="楷体_GB2312"/>
                <w:b/>
                <w:bCs/>
                <w:color w:val="000000"/>
                <w:kern w:val="0"/>
                <w:sz w:val="20"/>
                <w:szCs w:val="20"/>
              </w:rPr>
            </w:pPr>
            <w:r>
              <w:rPr>
                <w:rFonts w:hint="eastAsia" w:ascii="楷体_GB2312" w:hAnsi="宋体" w:eastAsia="楷体_GB2312" w:cs="楷体_GB2312"/>
                <w:b/>
                <w:bCs/>
                <w:color w:val="000000"/>
                <w:kern w:val="0"/>
                <w:sz w:val="20"/>
                <w:szCs w:val="20"/>
              </w:rPr>
              <w:t>注：企业职工养老保险由省级统筹；工伤及失业保险基金由市级统筹</w:t>
            </w:r>
            <w:r>
              <w:rPr>
                <w:rFonts w:ascii="楷体_GB2312" w:hAnsi="宋体" w:eastAsia="楷体_GB2312" w:cs="楷体_GB2312"/>
                <w:b/>
                <w:bCs/>
                <w:color w:val="000000"/>
                <w:kern w:val="0"/>
                <w:sz w:val="20"/>
                <w:szCs w:val="20"/>
              </w:rPr>
              <w:t>;</w:t>
            </w:r>
            <w:r>
              <w:rPr>
                <w:rFonts w:hint="eastAsia" w:ascii="楷体_GB2312" w:hAnsi="宋体" w:eastAsia="楷体_GB2312" w:cs="楷体_GB2312"/>
                <w:b/>
                <w:bCs/>
                <w:color w:val="000000"/>
                <w:kern w:val="0"/>
                <w:sz w:val="20"/>
                <w:szCs w:val="20"/>
              </w:rPr>
              <w:t>生育保险并入职工基本医疗</w:t>
            </w:r>
          </w:p>
          <w:p>
            <w:pPr>
              <w:widowControl/>
              <w:spacing w:line="280" w:lineRule="exact"/>
              <w:ind w:firstLine="402" w:firstLineChars="200"/>
              <w:jc w:val="left"/>
              <w:textAlignment w:val="center"/>
              <w:rPr>
                <w:rFonts w:ascii="楷体_GB2312" w:hAnsi="宋体" w:eastAsia="楷体_GB2312" w:cs="楷体_GB2312"/>
                <w:b/>
                <w:bCs/>
                <w:color w:val="000000"/>
                <w:sz w:val="20"/>
                <w:szCs w:val="20"/>
              </w:rPr>
            </w:pPr>
            <w:r>
              <w:rPr>
                <w:rFonts w:hint="eastAsia" w:ascii="楷体_GB2312" w:hAnsi="宋体" w:eastAsia="楷体_GB2312" w:cs="楷体_GB2312"/>
                <w:b/>
                <w:bCs/>
                <w:color w:val="000000"/>
                <w:kern w:val="0"/>
                <w:sz w:val="20"/>
                <w:szCs w:val="20"/>
              </w:rPr>
              <w:t>保险</w:t>
            </w:r>
          </w:p>
        </w:tc>
      </w:tr>
    </w:tbl>
    <w:p>
      <w:pPr>
        <w:pStyle w:val="7"/>
        <w:jc w:val="both"/>
      </w:pPr>
      <w:r>
        <w:rPr>
          <w:rFonts w:hint="eastAsia" w:ascii="仿宋_GB2312" w:hAnsi="宋体" w:eastAsia="仿宋_GB2312" w:cs="仿宋_GB2312"/>
          <w:color w:val="000000"/>
          <w:szCs w:val="21"/>
        </w:rPr>
        <w:t>附表</w:t>
      </w:r>
      <w:r>
        <w:rPr>
          <w:rFonts w:ascii="仿宋_GB2312" w:hAnsi="宋体" w:eastAsia="仿宋_GB2312" w:cs="仿宋_GB2312"/>
          <w:color w:val="000000"/>
          <w:szCs w:val="21"/>
        </w:rPr>
        <w:t>1-6</w:t>
      </w:r>
    </w:p>
    <w:p>
      <w:pPr>
        <w:jc w:val="center"/>
      </w:pPr>
      <w:r>
        <w:rPr>
          <w:rFonts w:ascii="黑体" w:hAnsi="宋体" w:eastAsia="黑体" w:cs="黑体"/>
          <w:b/>
          <w:bCs/>
          <w:color w:val="000000"/>
          <w:kern w:val="0"/>
          <w:sz w:val="32"/>
          <w:szCs w:val="32"/>
        </w:rPr>
        <w:t>202</w:t>
      </w:r>
      <w:r>
        <w:rPr>
          <w:rFonts w:hint="eastAsia" w:ascii="黑体" w:hAnsi="宋体" w:eastAsia="黑体" w:cs="黑体"/>
          <w:b/>
          <w:bCs/>
          <w:color w:val="000000"/>
          <w:kern w:val="0"/>
          <w:sz w:val="32"/>
          <w:szCs w:val="32"/>
          <w:lang w:val="en-US" w:eastAsia="zh-CN"/>
        </w:rPr>
        <w:t>4</w:t>
      </w:r>
      <w:r>
        <w:rPr>
          <w:rFonts w:hint="eastAsia" w:ascii="黑体" w:hAnsi="宋体" w:eastAsia="黑体" w:cs="黑体"/>
          <w:b/>
          <w:bCs/>
          <w:color w:val="000000"/>
          <w:kern w:val="0"/>
          <w:sz w:val="32"/>
          <w:szCs w:val="32"/>
        </w:rPr>
        <w:t>年社会保险基金支出预算完成情况表</w:t>
      </w:r>
    </w:p>
    <w:p>
      <w:pPr>
        <w:pStyle w:val="7"/>
        <w:spacing w:before="0" w:after="0"/>
        <w:rPr>
          <w:rFonts w:ascii="宋体" w:cs="宋体"/>
          <w:color w:val="000000"/>
          <w:sz w:val="20"/>
          <w:szCs w:val="20"/>
        </w:rPr>
      </w:pPr>
      <w:r>
        <w:rPr>
          <w:rFonts w:ascii="宋体" w:hAnsi="宋体" w:cs="宋体"/>
          <w:color w:val="000000"/>
          <w:sz w:val="20"/>
          <w:szCs w:val="20"/>
        </w:rPr>
        <w:t xml:space="preserve">                                                        </w:t>
      </w:r>
      <w:r>
        <w:rPr>
          <w:rFonts w:hint="eastAsia" w:ascii="宋体" w:hAnsi="宋体" w:cs="宋体"/>
          <w:color w:val="000000"/>
          <w:sz w:val="20"/>
          <w:szCs w:val="20"/>
        </w:rPr>
        <w:t>单位：万元</w:t>
      </w:r>
    </w:p>
    <w:tbl>
      <w:tblPr>
        <w:tblStyle w:val="8"/>
        <w:tblpPr w:leftFromText="180" w:rightFromText="180" w:vertAnchor="text" w:horzAnchor="page" w:tblpXSpec="center" w:tblpY="364"/>
        <w:tblOverlap w:val="never"/>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3"/>
        <w:gridCol w:w="1560"/>
        <w:gridCol w:w="1616"/>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903" w:type="dxa"/>
            <w:noWrap/>
            <w:vAlign w:val="center"/>
          </w:tcPr>
          <w:p>
            <w:pPr>
              <w:widowControl/>
              <w:jc w:val="center"/>
              <w:textAlignment w:val="center"/>
              <w:rPr>
                <w:rFonts w:ascii="宋体" w:cs="宋体"/>
                <w:b/>
                <w:bCs/>
                <w:color w:val="000000"/>
                <w:sz w:val="22"/>
                <w:szCs w:val="22"/>
              </w:rPr>
            </w:pPr>
            <w:r>
              <w:rPr>
                <w:rFonts w:hint="eastAsia" w:ascii="宋体" w:hAnsi="宋体" w:cs="宋体"/>
                <w:b/>
                <w:bCs/>
                <w:color w:val="000000"/>
                <w:kern w:val="0"/>
                <w:sz w:val="22"/>
                <w:szCs w:val="22"/>
              </w:rPr>
              <w:t>支出项目</w:t>
            </w:r>
          </w:p>
        </w:tc>
        <w:tc>
          <w:tcPr>
            <w:tcW w:w="1560" w:type="dxa"/>
            <w:noWrap/>
            <w:vAlign w:val="center"/>
          </w:tcPr>
          <w:p>
            <w:pPr>
              <w:widowControl/>
              <w:jc w:val="center"/>
              <w:textAlignment w:val="center"/>
              <w:rPr>
                <w:rFonts w:ascii="宋体" w:cs="宋体"/>
                <w:b/>
                <w:bCs/>
                <w:color w:val="000000"/>
                <w:sz w:val="22"/>
                <w:szCs w:val="22"/>
              </w:rPr>
            </w:pPr>
            <w:r>
              <w:rPr>
                <w:rFonts w:hint="eastAsia" w:ascii="宋体" w:hAnsi="宋体" w:cs="宋体"/>
                <w:b/>
                <w:bCs/>
                <w:color w:val="000000"/>
                <w:kern w:val="0"/>
                <w:sz w:val="22"/>
                <w:szCs w:val="22"/>
              </w:rPr>
              <w:t>调整预算数</w:t>
            </w:r>
          </w:p>
        </w:tc>
        <w:tc>
          <w:tcPr>
            <w:tcW w:w="1616" w:type="dxa"/>
            <w:noWrap/>
            <w:vAlign w:val="center"/>
          </w:tcPr>
          <w:p>
            <w:pPr>
              <w:widowControl/>
              <w:jc w:val="center"/>
              <w:textAlignment w:val="center"/>
              <w:rPr>
                <w:rFonts w:ascii="宋体" w:cs="宋体"/>
                <w:b/>
                <w:bCs/>
                <w:color w:val="000000"/>
                <w:sz w:val="22"/>
                <w:szCs w:val="22"/>
              </w:rPr>
            </w:pPr>
            <w:r>
              <w:rPr>
                <w:rFonts w:hint="eastAsia" w:ascii="宋体" w:hAnsi="宋体" w:cs="宋体"/>
                <w:b/>
                <w:bCs/>
                <w:color w:val="000000"/>
                <w:kern w:val="0"/>
                <w:sz w:val="22"/>
                <w:szCs w:val="22"/>
              </w:rPr>
              <w:t>完成数</w:t>
            </w:r>
          </w:p>
        </w:tc>
        <w:tc>
          <w:tcPr>
            <w:tcW w:w="1771" w:type="dxa"/>
            <w:noWrap/>
            <w:vAlign w:val="center"/>
          </w:tcPr>
          <w:p>
            <w:pPr>
              <w:widowControl/>
              <w:jc w:val="center"/>
              <w:textAlignment w:val="center"/>
              <w:rPr>
                <w:rFonts w:ascii="宋体" w:cs="宋体"/>
                <w:b/>
                <w:bCs/>
                <w:color w:val="000000"/>
                <w:sz w:val="22"/>
                <w:szCs w:val="22"/>
              </w:rPr>
            </w:pPr>
            <w:r>
              <w:rPr>
                <w:rFonts w:hint="eastAsia" w:ascii="宋体" w:hAnsi="宋体" w:cs="宋体"/>
                <w:b/>
                <w:bCs/>
                <w:color w:val="000000"/>
                <w:kern w:val="0"/>
                <w:sz w:val="22"/>
                <w:szCs w:val="22"/>
              </w:rPr>
              <w:t>占调整预算数（</w:t>
            </w:r>
            <w:r>
              <w:rPr>
                <w:rFonts w:ascii="宋体" w:hAnsi="宋体" w:cs="宋体"/>
                <w:b/>
                <w:bCs/>
                <w:color w:val="000000"/>
                <w:kern w:val="0"/>
                <w:sz w:val="22"/>
                <w:szCs w:val="22"/>
              </w:rPr>
              <w:t>%</w:t>
            </w:r>
            <w:r>
              <w:rPr>
                <w:rFonts w:hint="eastAsia" w:ascii="宋体" w:hAnsi="宋体" w:cs="宋体"/>
                <w:b/>
                <w:bCs/>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903" w:type="dxa"/>
            <w:noWrap/>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合</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计</w:t>
            </w:r>
          </w:p>
        </w:tc>
        <w:tc>
          <w:tcPr>
            <w:tcW w:w="1560" w:type="dxa"/>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55086</w:t>
            </w:r>
          </w:p>
        </w:tc>
        <w:tc>
          <w:tcPr>
            <w:tcW w:w="1616" w:type="dxa"/>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55086</w:t>
            </w:r>
          </w:p>
        </w:tc>
        <w:tc>
          <w:tcPr>
            <w:tcW w:w="1771" w:type="dxa"/>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903" w:type="dxa"/>
            <w:noWrap/>
            <w:vAlign w:val="center"/>
          </w:tcPr>
          <w:p>
            <w:pPr>
              <w:widowControl/>
              <w:jc w:val="left"/>
              <w:textAlignment w:val="center"/>
              <w:rPr>
                <w:rFonts w:ascii="宋体" w:cs="宋体"/>
                <w:b/>
                <w:bCs/>
                <w:color w:val="000000"/>
                <w:sz w:val="20"/>
                <w:szCs w:val="20"/>
              </w:rPr>
            </w:pPr>
            <w:r>
              <w:rPr>
                <w:rFonts w:hint="eastAsia" w:ascii="宋体" w:hAnsi="宋体" w:cs="宋体"/>
                <w:b/>
                <w:bCs/>
                <w:color w:val="000000"/>
                <w:kern w:val="0"/>
                <w:sz w:val="20"/>
                <w:szCs w:val="20"/>
              </w:rPr>
              <w:t>一、城乡居民基本养老保险基金支出</w:t>
            </w:r>
          </w:p>
        </w:tc>
        <w:tc>
          <w:tcPr>
            <w:tcW w:w="1560" w:type="dxa"/>
            <w:noWrap/>
            <w:vAlign w:val="center"/>
          </w:tcPr>
          <w:p>
            <w:pPr>
              <w:keepNext w:val="0"/>
              <w:keepLines w:val="0"/>
              <w:widowControl/>
              <w:suppressLineNumbers w:val="0"/>
              <w:jc w:val="center"/>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17255</w:t>
            </w:r>
          </w:p>
        </w:tc>
        <w:tc>
          <w:tcPr>
            <w:tcW w:w="1616" w:type="dxa"/>
            <w:noWrap/>
            <w:vAlign w:val="center"/>
          </w:tcPr>
          <w:p>
            <w:pPr>
              <w:keepNext w:val="0"/>
              <w:keepLines w:val="0"/>
              <w:widowControl/>
              <w:suppressLineNumbers w:val="0"/>
              <w:jc w:val="center"/>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17255</w:t>
            </w:r>
          </w:p>
        </w:tc>
        <w:tc>
          <w:tcPr>
            <w:tcW w:w="1771" w:type="dxa"/>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903" w:type="dxa"/>
            <w:noWrap/>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其中：社会保险待遇支出</w:t>
            </w:r>
          </w:p>
        </w:tc>
        <w:tc>
          <w:tcPr>
            <w:tcW w:w="1560" w:type="dxa"/>
            <w:noWrap/>
            <w:vAlign w:val="center"/>
          </w:tcPr>
          <w:p>
            <w:pPr>
              <w:keepNext w:val="0"/>
              <w:keepLines w:val="0"/>
              <w:widowControl/>
              <w:suppressLineNumbers w:val="0"/>
              <w:jc w:val="center"/>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17243</w:t>
            </w:r>
          </w:p>
        </w:tc>
        <w:tc>
          <w:tcPr>
            <w:tcW w:w="1616" w:type="dxa"/>
            <w:noWrap/>
            <w:vAlign w:val="center"/>
          </w:tcPr>
          <w:p>
            <w:pPr>
              <w:keepNext w:val="0"/>
              <w:keepLines w:val="0"/>
              <w:widowControl/>
              <w:suppressLineNumbers w:val="0"/>
              <w:jc w:val="center"/>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17243</w:t>
            </w:r>
          </w:p>
        </w:tc>
        <w:tc>
          <w:tcPr>
            <w:tcW w:w="1771" w:type="dxa"/>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903" w:type="dxa"/>
            <w:noWrap/>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转移支出</w:t>
            </w:r>
          </w:p>
        </w:tc>
        <w:tc>
          <w:tcPr>
            <w:tcW w:w="1560" w:type="dxa"/>
            <w:noWrap/>
            <w:vAlign w:val="center"/>
          </w:tcPr>
          <w:p>
            <w:pPr>
              <w:keepNext w:val="0"/>
              <w:keepLines w:val="0"/>
              <w:widowControl/>
              <w:suppressLineNumbers w:val="0"/>
              <w:jc w:val="center"/>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12</w:t>
            </w:r>
          </w:p>
        </w:tc>
        <w:tc>
          <w:tcPr>
            <w:tcW w:w="1616" w:type="dxa"/>
            <w:noWrap/>
            <w:vAlign w:val="center"/>
          </w:tcPr>
          <w:p>
            <w:pPr>
              <w:keepNext w:val="0"/>
              <w:keepLines w:val="0"/>
              <w:widowControl/>
              <w:suppressLineNumbers w:val="0"/>
              <w:jc w:val="center"/>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12</w:t>
            </w:r>
          </w:p>
        </w:tc>
        <w:tc>
          <w:tcPr>
            <w:tcW w:w="1771" w:type="dxa"/>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903" w:type="dxa"/>
            <w:noWrap/>
            <w:vAlign w:val="center"/>
          </w:tcPr>
          <w:p>
            <w:pPr>
              <w:widowControl/>
              <w:jc w:val="left"/>
              <w:textAlignment w:val="center"/>
              <w:rPr>
                <w:rFonts w:ascii="宋体" w:cs="宋体"/>
                <w:b/>
                <w:bCs/>
                <w:color w:val="000000"/>
                <w:sz w:val="20"/>
                <w:szCs w:val="20"/>
              </w:rPr>
            </w:pPr>
            <w:r>
              <w:rPr>
                <w:rFonts w:hint="eastAsia" w:ascii="宋体" w:hAnsi="宋体" w:cs="宋体"/>
                <w:b/>
                <w:bCs/>
                <w:color w:val="000000"/>
                <w:kern w:val="0"/>
                <w:sz w:val="20"/>
                <w:szCs w:val="20"/>
              </w:rPr>
              <w:t>二、机关事业单位基本养老保险</w:t>
            </w:r>
          </w:p>
        </w:tc>
        <w:tc>
          <w:tcPr>
            <w:tcW w:w="1560" w:type="dxa"/>
            <w:noWrap/>
            <w:vAlign w:val="center"/>
          </w:tcPr>
          <w:p>
            <w:pPr>
              <w:keepNext w:val="0"/>
              <w:keepLines w:val="0"/>
              <w:widowControl/>
              <w:suppressLineNumbers w:val="0"/>
              <w:jc w:val="center"/>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37831</w:t>
            </w:r>
          </w:p>
        </w:tc>
        <w:tc>
          <w:tcPr>
            <w:tcW w:w="1616" w:type="dxa"/>
            <w:noWrap/>
            <w:vAlign w:val="center"/>
          </w:tcPr>
          <w:p>
            <w:pPr>
              <w:keepNext w:val="0"/>
              <w:keepLines w:val="0"/>
              <w:widowControl/>
              <w:suppressLineNumbers w:val="0"/>
              <w:jc w:val="center"/>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37831</w:t>
            </w:r>
          </w:p>
        </w:tc>
        <w:tc>
          <w:tcPr>
            <w:tcW w:w="1771" w:type="dxa"/>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903" w:type="dxa"/>
            <w:noWrap/>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其中：社会保险待遇支出</w:t>
            </w:r>
          </w:p>
        </w:tc>
        <w:tc>
          <w:tcPr>
            <w:tcW w:w="1560" w:type="dxa"/>
            <w:noWrap/>
            <w:vAlign w:val="center"/>
          </w:tcPr>
          <w:p>
            <w:pPr>
              <w:keepNext w:val="0"/>
              <w:keepLines w:val="0"/>
              <w:widowControl/>
              <w:suppressLineNumbers w:val="0"/>
              <w:jc w:val="center"/>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37728</w:t>
            </w:r>
          </w:p>
        </w:tc>
        <w:tc>
          <w:tcPr>
            <w:tcW w:w="1616" w:type="dxa"/>
            <w:noWrap/>
            <w:vAlign w:val="center"/>
          </w:tcPr>
          <w:p>
            <w:pPr>
              <w:keepNext w:val="0"/>
              <w:keepLines w:val="0"/>
              <w:widowControl/>
              <w:suppressLineNumbers w:val="0"/>
              <w:jc w:val="center"/>
              <w:textAlignment w:val="center"/>
              <w:rPr>
                <w:rFonts w:ascii="宋体" w:cs="宋体"/>
                <w:color w:val="000000"/>
                <w:sz w:val="18"/>
                <w:szCs w:val="18"/>
              </w:rPr>
            </w:pPr>
            <w:r>
              <w:rPr>
                <w:rFonts w:hint="eastAsia" w:ascii="宋体" w:hAnsi="宋体" w:eastAsia="宋体" w:cs="宋体"/>
                <w:i w:val="0"/>
                <w:color w:val="000000"/>
                <w:kern w:val="0"/>
                <w:sz w:val="18"/>
                <w:szCs w:val="18"/>
                <w:u w:val="none"/>
                <w:lang w:val="en-US" w:eastAsia="zh-CN" w:bidi="ar"/>
              </w:rPr>
              <w:t>37728</w:t>
            </w:r>
          </w:p>
        </w:tc>
        <w:tc>
          <w:tcPr>
            <w:tcW w:w="1771" w:type="dxa"/>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903" w:type="dxa"/>
            <w:noWrap/>
            <w:vAlign w:val="center"/>
          </w:tcPr>
          <w:p>
            <w:pPr>
              <w:widowControl/>
              <w:jc w:val="left"/>
              <w:textAlignment w:val="center"/>
              <w:rPr>
                <w:rFonts w:ascii="宋体" w:cs="宋体"/>
                <w:b/>
                <w:bCs/>
                <w:color w:val="000000"/>
                <w:sz w:val="20"/>
                <w:szCs w:val="20"/>
              </w:rPr>
            </w:pPr>
            <w:r>
              <w:rPr>
                <w:rFonts w:hint="eastAsia" w:ascii="宋体" w:hAnsi="宋体" w:cs="宋体"/>
                <w:b/>
                <w:bCs/>
                <w:color w:val="000000"/>
                <w:kern w:val="0"/>
                <w:sz w:val="20"/>
                <w:szCs w:val="20"/>
              </w:rPr>
              <w:t>三、职工基本医疗保险基金</w:t>
            </w:r>
          </w:p>
        </w:tc>
        <w:tc>
          <w:tcPr>
            <w:tcW w:w="1560" w:type="dxa"/>
            <w:noWrap/>
            <w:vAlign w:val="center"/>
          </w:tcPr>
          <w:p>
            <w:pPr>
              <w:jc w:val="center"/>
              <w:rPr>
                <w:rFonts w:ascii="宋体" w:cs="宋体"/>
                <w:color w:val="000000"/>
                <w:sz w:val="18"/>
                <w:szCs w:val="18"/>
              </w:rPr>
            </w:pPr>
          </w:p>
        </w:tc>
        <w:tc>
          <w:tcPr>
            <w:tcW w:w="1616" w:type="dxa"/>
            <w:noWrap/>
            <w:vAlign w:val="center"/>
          </w:tcPr>
          <w:p>
            <w:pPr>
              <w:jc w:val="center"/>
              <w:rPr>
                <w:rFonts w:ascii="宋体" w:cs="宋体"/>
                <w:color w:val="000000"/>
                <w:sz w:val="18"/>
                <w:szCs w:val="18"/>
              </w:rPr>
            </w:pPr>
          </w:p>
        </w:tc>
        <w:tc>
          <w:tcPr>
            <w:tcW w:w="1771" w:type="dxa"/>
            <w:noWrap/>
            <w:vAlign w:val="center"/>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trPr>
        <w:tc>
          <w:tcPr>
            <w:tcW w:w="3903" w:type="dxa"/>
            <w:noWrap/>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其中：社会保险待遇支出</w:t>
            </w:r>
          </w:p>
        </w:tc>
        <w:tc>
          <w:tcPr>
            <w:tcW w:w="1560" w:type="dxa"/>
            <w:noWrap/>
            <w:vAlign w:val="center"/>
          </w:tcPr>
          <w:p>
            <w:pPr>
              <w:jc w:val="center"/>
              <w:rPr>
                <w:rFonts w:ascii="宋体" w:cs="宋体"/>
                <w:color w:val="000000"/>
                <w:sz w:val="18"/>
                <w:szCs w:val="18"/>
              </w:rPr>
            </w:pPr>
          </w:p>
        </w:tc>
        <w:tc>
          <w:tcPr>
            <w:tcW w:w="1616" w:type="dxa"/>
            <w:noWrap/>
            <w:vAlign w:val="center"/>
          </w:tcPr>
          <w:p>
            <w:pPr>
              <w:jc w:val="center"/>
              <w:rPr>
                <w:rFonts w:ascii="宋体" w:cs="宋体"/>
                <w:color w:val="000000"/>
                <w:sz w:val="18"/>
                <w:szCs w:val="18"/>
              </w:rPr>
            </w:pPr>
          </w:p>
        </w:tc>
        <w:tc>
          <w:tcPr>
            <w:tcW w:w="1771" w:type="dxa"/>
            <w:noWrap/>
            <w:vAlign w:val="center"/>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903" w:type="dxa"/>
            <w:noWrap/>
            <w:vAlign w:val="center"/>
          </w:tcPr>
          <w:p>
            <w:pPr>
              <w:widowControl/>
              <w:jc w:val="left"/>
              <w:textAlignment w:val="center"/>
              <w:rPr>
                <w:rFonts w:ascii="宋体" w:cs="宋体"/>
                <w:b/>
                <w:bCs/>
                <w:color w:val="000000"/>
                <w:sz w:val="20"/>
                <w:szCs w:val="20"/>
              </w:rPr>
            </w:pPr>
            <w:r>
              <w:rPr>
                <w:rFonts w:hint="eastAsia" w:ascii="宋体" w:hAnsi="宋体" w:cs="宋体"/>
                <w:b/>
                <w:bCs/>
                <w:color w:val="000000"/>
                <w:kern w:val="0"/>
                <w:sz w:val="20"/>
                <w:szCs w:val="20"/>
              </w:rPr>
              <w:t>四、城乡居民基本医疗保险基金支出</w:t>
            </w:r>
          </w:p>
        </w:tc>
        <w:tc>
          <w:tcPr>
            <w:tcW w:w="1560" w:type="dxa"/>
            <w:noWrap/>
            <w:vAlign w:val="center"/>
          </w:tcPr>
          <w:p>
            <w:pPr>
              <w:jc w:val="center"/>
              <w:rPr>
                <w:rFonts w:ascii="宋体" w:cs="宋体"/>
                <w:color w:val="000000"/>
                <w:sz w:val="18"/>
                <w:szCs w:val="18"/>
              </w:rPr>
            </w:pPr>
          </w:p>
        </w:tc>
        <w:tc>
          <w:tcPr>
            <w:tcW w:w="1616" w:type="dxa"/>
            <w:noWrap/>
            <w:vAlign w:val="center"/>
          </w:tcPr>
          <w:p>
            <w:pPr>
              <w:jc w:val="center"/>
              <w:rPr>
                <w:rFonts w:ascii="宋体" w:cs="宋体"/>
                <w:color w:val="000000"/>
                <w:sz w:val="18"/>
                <w:szCs w:val="18"/>
              </w:rPr>
            </w:pPr>
          </w:p>
        </w:tc>
        <w:tc>
          <w:tcPr>
            <w:tcW w:w="1771" w:type="dxa"/>
            <w:noWrap/>
            <w:vAlign w:val="center"/>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903" w:type="dxa"/>
            <w:noWrap/>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其中：社会保险待遇支出</w:t>
            </w:r>
          </w:p>
        </w:tc>
        <w:tc>
          <w:tcPr>
            <w:tcW w:w="1560" w:type="dxa"/>
            <w:noWrap/>
            <w:vAlign w:val="center"/>
          </w:tcPr>
          <w:p>
            <w:pPr>
              <w:jc w:val="center"/>
              <w:rPr>
                <w:rFonts w:ascii="宋体" w:cs="宋体"/>
                <w:color w:val="000000"/>
                <w:sz w:val="18"/>
                <w:szCs w:val="18"/>
              </w:rPr>
            </w:pPr>
          </w:p>
        </w:tc>
        <w:tc>
          <w:tcPr>
            <w:tcW w:w="1616" w:type="dxa"/>
            <w:noWrap/>
            <w:vAlign w:val="center"/>
          </w:tcPr>
          <w:p>
            <w:pPr>
              <w:jc w:val="center"/>
              <w:rPr>
                <w:rFonts w:ascii="宋体" w:cs="宋体"/>
                <w:color w:val="000000"/>
                <w:sz w:val="18"/>
                <w:szCs w:val="18"/>
              </w:rPr>
            </w:pPr>
          </w:p>
        </w:tc>
        <w:tc>
          <w:tcPr>
            <w:tcW w:w="1771" w:type="dxa"/>
            <w:noWrap/>
            <w:vAlign w:val="center"/>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903" w:type="dxa"/>
            <w:noWrap/>
            <w:vAlign w:val="center"/>
          </w:tcPr>
          <w:p>
            <w:pPr>
              <w:widowControl/>
              <w:jc w:val="left"/>
              <w:textAlignment w:val="center"/>
              <w:rPr>
                <w:rFonts w:ascii="宋体" w:cs="宋体"/>
                <w:b/>
                <w:bCs/>
                <w:color w:val="000000"/>
                <w:sz w:val="20"/>
                <w:szCs w:val="20"/>
              </w:rPr>
            </w:pPr>
            <w:r>
              <w:rPr>
                <w:rFonts w:hint="eastAsia" w:ascii="宋体" w:hAnsi="宋体" w:cs="宋体"/>
                <w:b/>
                <w:bCs/>
                <w:color w:val="000000"/>
                <w:kern w:val="0"/>
                <w:sz w:val="20"/>
                <w:szCs w:val="20"/>
              </w:rPr>
              <w:t>五、企业职工基本养老保险基金支出</w:t>
            </w:r>
          </w:p>
        </w:tc>
        <w:tc>
          <w:tcPr>
            <w:tcW w:w="1560" w:type="dxa"/>
            <w:noWrap/>
            <w:vAlign w:val="center"/>
          </w:tcPr>
          <w:p>
            <w:pPr>
              <w:jc w:val="center"/>
              <w:rPr>
                <w:rFonts w:ascii="宋体" w:cs="宋体"/>
                <w:color w:val="000000"/>
                <w:sz w:val="18"/>
                <w:szCs w:val="18"/>
              </w:rPr>
            </w:pPr>
          </w:p>
        </w:tc>
        <w:tc>
          <w:tcPr>
            <w:tcW w:w="1616" w:type="dxa"/>
            <w:noWrap/>
            <w:vAlign w:val="center"/>
          </w:tcPr>
          <w:p>
            <w:pPr>
              <w:jc w:val="center"/>
              <w:rPr>
                <w:rFonts w:ascii="宋体" w:cs="宋体"/>
                <w:color w:val="000000"/>
                <w:sz w:val="20"/>
                <w:szCs w:val="20"/>
              </w:rPr>
            </w:pPr>
          </w:p>
        </w:tc>
        <w:tc>
          <w:tcPr>
            <w:tcW w:w="1771" w:type="dxa"/>
            <w:noWrap/>
            <w:vAlign w:val="center"/>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903" w:type="dxa"/>
            <w:noWrap/>
            <w:vAlign w:val="center"/>
          </w:tcPr>
          <w:p>
            <w:pPr>
              <w:widowControl/>
              <w:jc w:val="left"/>
              <w:textAlignment w:val="center"/>
              <w:rPr>
                <w:rFonts w:ascii="宋体" w:cs="宋体"/>
                <w:b/>
                <w:bCs/>
                <w:color w:val="000000"/>
                <w:sz w:val="20"/>
                <w:szCs w:val="20"/>
              </w:rPr>
            </w:pPr>
            <w:r>
              <w:rPr>
                <w:rFonts w:hint="eastAsia" w:ascii="宋体" w:hAnsi="宋体" w:cs="宋体"/>
                <w:b/>
                <w:bCs/>
                <w:color w:val="000000"/>
                <w:kern w:val="0"/>
                <w:sz w:val="20"/>
                <w:szCs w:val="20"/>
              </w:rPr>
              <w:t>六、工伤保险基金支出</w:t>
            </w:r>
          </w:p>
        </w:tc>
        <w:tc>
          <w:tcPr>
            <w:tcW w:w="1560" w:type="dxa"/>
            <w:noWrap/>
            <w:vAlign w:val="center"/>
          </w:tcPr>
          <w:p>
            <w:pPr>
              <w:jc w:val="center"/>
              <w:rPr>
                <w:rFonts w:ascii="宋体" w:cs="宋体"/>
                <w:color w:val="000000"/>
                <w:sz w:val="20"/>
                <w:szCs w:val="20"/>
              </w:rPr>
            </w:pPr>
          </w:p>
        </w:tc>
        <w:tc>
          <w:tcPr>
            <w:tcW w:w="1616" w:type="dxa"/>
            <w:noWrap/>
            <w:vAlign w:val="center"/>
          </w:tcPr>
          <w:p>
            <w:pPr>
              <w:jc w:val="center"/>
              <w:rPr>
                <w:rFonts w:ascii="宋体" w:cs="宋体"/>
                <w:color w:val="000000"/>
                <w:sz w:val="20"/>
                <w:szCs w:val="20"/>
              </w:rPr>
            </w:pPr>
          </w:p>
        </w:tc>
        <w:tc>
          <w:tcPr>
            <w:tcW w:w="1771" w:type="dxa"/>
            <w:noWrap/>
            <w:vAlign w:val="center"/>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903" w:type="dxa"/>
            <w:noWrap/>
            <w:vAlign w:val="center"/>
          </w:tcPr>
          <w:p>
            <w:pPr>
              <w:widowControl/>
              <w:jc w:val="left"/>
              <w:textAlignment w:val="center"/>
              <w:rPr>
                <w:rFonts w:ascii="宋体" w:cs="宋体"/>
                <w:b/>
                <w:bCs/>
                <w:color w:val="000000"/>
                <w:sz w:val="20"/>
                <w:szCs w:val="20"/>
              </w:rPr>
            </w:pPr>
            <w:r>
              <w:rPr>
                <w:rFonts w:hint="eastAsia" w:ascii="宋体" w:hAnsi="宋体" w:cs="宋体"/>
                <w:b/>
                <w:bCs/>
                <w:color w:val="000000"/>
                <w:kern w:val="0"/>
                <w:sz w:val="20"/>
                <w:szCs w:val="20"/>
              </w:rPr>
              <w:t>七、失业保险基金支出</w:t>
            </w:r>
            <w:r>
              <w:rPr>
                <w:rFonts w:ascii="宋体" w:hAnsi="宋体" w:cs="宋体"/>
                <w:b/>
                <w:bCs/>
                <w:color w:val="000000"/>
                <w:kern w:val="0"/>
                <w:sz w:val="20"/>
                <w:szCs w:val="20"/>
              </w:rPr>
              <w:t xml:space="preserve"> </w:t>
            </w:r>
          </w:p>
        </w:tc>
        <w:tc>
          <w:tcPr>
            <w:tcW w:w="1560" w:type="dxa"/>
            <w:noWrap/>
            <w:vAlign w:val="center"/>
          </w:tcPr>
          <w:p>
            <w:pPr>
              <w:jc w:val="center"/>
              <w:rPr>
                <w:rFonts w:ascii="宋体" w:cs="宋体"/>
                <w:color w:val="000000"/>
                <w:sz w:val="20"/>
                <w:szCs w:val="20"/>
              </w:rPr>
            </w:pPr>
          </w:p>
        </w:tc>
        <w:tc>
          <w:tcPr>
            <w:tcW w:w="1616" w:type="dxa"/>
            <w:noWrap/>
            <w:vAlign w:val="center"/>
          </w:tcPr>
          <w:p>
            <w:pPr>
              <w:jc w:val="center"/>
              <w:rPr>
                <w:rFonts w:ascii="宋体" w:cs="宋体"/>
                <w:color w:val="000000"/>
                <w:sz w:val="20"/>
                <w:szCs w:val="20"/>
              </w:rPr>
            </w:pPr>
          </w:p>
        </w:tc>
        <w:tc>
          <w:tcPr>
            <w:tcW w:w="1771" w:type="dxa"/>
            <w:noWrap/>
            <w:vAlign w:val="center"/>
          </w:tcPr>
          <w:p>
            <w:pPr>
              <w:jc w:val="center"/>
              <w:rPr>
                <w:rFonts w:asci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903" w:type="dxa"/>
            <w:noWrap/>
            <w:vAlign w:val="center"/>
          </w:tcPr>
          <w:p>
            <w:pPr>
              <w:widowControl/>
              <w:jc w:val="left"/>
              <w:textAlignment w:val="center"/>
              <w:rPr>
                <w:rFonts w:ascii="宋体" w:cs="宋体"/>
                <w:b/>
                <w:bCs/>
                <w:color w:val="000000"/>
                <w:sz w:val="20"/>
                <w:szCs w:val="20"/>
              </w:rPr>
            </w:pPr>
            <w:r>
              <w:rPr>
                <w:rFonts w:hint="eastAsia" w:ascii="宋体" w:hAnsi="宋体" w:cs="宋体"/>
                <w:b/>
                <w:bCs/>
                <w:color w:val="000000"/>
                <w:kern w:val="0"/>
                <w:sz w:val="20"/>
                <w:szCs w:val="20"/>
              </w:rPr>
              <w:t>八、生育保险基金支出</w:t>
            </w:r>
          </w:p>
        </w:tc>
        <w:tc>
          <w:tcPr>
            <w:tcW w:w="1560" w:type="dxa"/>
            <w:noWrap/>
            <w:vAlign w:val="center"/>
          </w:tcPr>
          <w:p>
            <w:pPr>
              <w:jc w:val="center"/>
              <w:rPr>
                <w:rFonts w:ascii="宋体" w:cs="宋体"/>
                <w:color w:val="000000"/>
                <w:sz w:val="20"/>
                <w:szCs w:val="20"/>
              </w:rPr>
            </w:pPr>
          </w:p>
        </w:tc>
        <w:tc>
          <w:tcPr>
            <w:tcW w:w="1616" w:type="dxa"/>
            <w:noWrap/>
            <w:vAlign w:val="center"/>
          </w:tcPr>
          <w:p>
            <w:pPr>
              <w:jc w:val="center"/>
              <w:rPr>
                <w:rFonts w:ascii="宋体" w:cs="宋体"/>
                <w:color w:val="000000"/>
                <w:sz w:val="20"/>
                <w:szCs w:val="20"/>
              </w:rPr>
            </w:pPr>
          </w:p>
        </w:tc>
        <w:tc>
          <w:tcPr>
            <w:tcW w:w="1771" w:type="dxa"/>
            <w:noWrap/>
            <w:vAlign w:val="center"/>
          </w:tcPr>
          <w:p>
            <w:pPr>
              <w:jc w:val="center"/>
              <w:rPr>
                <w:rFonts w:ascii="宋体" w:cs="宋体"/>
                <w:color w:val="000000"/>
                <w:sz w:val="20"/>
                <w:szCs w:val="20"/>
              </w:rPr>
            </w:pPr>
          </w:p>
        </w:tc>
      </w:tr>
    </w:tbl>
    <w:p/>
    <w:p>
      <w:pPr>
        <w:pStyle w:val="7"/>
        <w:spacing w:before="0" w:after="0" w:line="400" w:lineRule="exact"/>
        <w:jc w:val="left"/>
        <w:rPr>
          <w:rFonts w:ascii="楷体_GB2312" w:hAnsi="宋体" w:eastAsia="楷体_GB2312" w:cs="楷体_GB2312"/>
          <w:color w:val="000000"/>
          <w:sz w:val="20"/>
          <w:szCs w:val="20"/>
        </w:rPr>
      </w:pPr>
      <w:r>
        <w:rPr>
          <w:rFonts w:hint="eastAsia" w:ascii="楷体_GB2312" w:hAnsi="宋体" w:eastAsia="楷体_GB2312" w:cs="楷体_GB2312"/>
          <w:color w:val="000000"/>
          <w:sz w:val="20"/>
          <w:szCs w:val="20"/>
        </w:rPr>
        <w:t>注：企业职工养老保险由省级统筹；工伤及失业保险基金由市级统筹</w:t>
      </w:r>
      <w:r>
        <w:rPr>
          <w:rFonts w:ascii="楷体_GB2312" w:hAnsi="宋体" w:eastAsia="楷体_GB2312" w:cs="楷体_GB2312"/>
          <w:color w:val="000000"/>
          <w:sz w:val="20"/>
          <w:szCs w:val="20"/>
        </w:rPr>
        <w:t>;</w:t>
      </w:r>
      <w:r>
        <w:rPr>
          <w:rFonts w:hint="eastAsia" w:ascii="楷体_GB2312" w:hAnsi="宋体" w:eastAsia="楷体_GB2312" w:cs="楷体_GB2312"/>
          <w:color w:val="000000"/>
          <w:sz w:val="20"/>
          <w:szCs w:val="20"/>
        </w:rPr>
        <w:t>生育保险并入职工基本医疗</w:t>
      </w:r>
    </w:p>
    <w:p>
      <w:pPr>
        <w:pStyle w:val="7"/>
        <w:spacing w:before="0" w:after="0" w:line="400" w:lineRule="exact"/>
        <w:ind w:firstLine="450" w:firstLineChars="224"/>
        <w:jc w:val="left"/>
        <w:rPr>
          <w:rFonts w:ascii="楷体_GB2312" w:hAnsi="宋体" w:eastAsia="楷体_GB2312" w:cs="楷体_GB2312"/>
          <w:color w:val="000000"/>
          <w:sz w:val="20"/>
          <w:szCs w:val="20"/>
        </w:rPr>
      </w:pPr>
      <w:r>
        <w:rPr>
          <w:rFonts w:hint="eastAsia" w:ascii="楷体_GB2312" w:hAnsi="宋体" w:eastAsia="楷体_GB2312" w:cs="楷体_GB2312"/>
          <w:color w:val="000000"/>
          <w:sz w:val="20"/>
          <w:szCs w:val="20"/>
        </w:rPr>
        <w:t>保险</w:t>
      </w:r>
    </w:p>
    <w:p/>
    <w:p>
      <w:pPr>
        <w:pStyle w:val="7"/>
      </w:pPr>
    </w:p>
    <w:p>
      <w:pPr>
        <w:pStyle w:val="7"/>
        <w:jc w:val="both"/>
      </w:pPr>
      <w:r>
        <w:rPr>
          <w:rFonts w:hint="eastAsia" w:ascii="仿宋_GB2312" w:hAnsi="宋体" w:eastAsia="仿宋_GB2312" w:cs="仿宋_GB2312"/>
          <w:color w:val="000000"/>
          <w:szCs w:val="21"/>
        </w:rPr>
        <w:t>附件</w:t>
      </w:r>
      <w:r>
        <w:rPr>
          <w:rFonts w:ascii="仿宋_GB2312" w:hAnsi="宋体" w:eastAsia="仿宋_GB2312" w:cs="仿宋_GB2312"/>
          <w:color w:val="000000"/>
          <w:szCs w:val="21"/>
        </w:rPr>
        <w:t>1</w:t>
      </w:r>
      <w:r>
        <w:rPr>
          <w:rStyle w:val="19"/>
        </w:rPr>
        <w:t>-7</w:t>
      </w:r>
    </w:p>
    <w:p>
      <w:pPr>
        <w:jc w:val="center"/>
        <w:rPr>
          <w:rFonts w:ascii="黑体" w:hAnsi="宋体" w:eastAsia="黑体" w:cs="黑体"/>
          <w:b/>
          <w:bCs/>
          <w:color w:val="000000"/>
          <w:kern w:val="0"/>
          <w:sz w:val="32"/>
          <w:szCs w:val="32"/>
        </w:rPr>
      </w:pPr>
      <w:r>
        <w:rPr>
          <w:rFonts w:ascii="黑体" w:hAnsi="宋体" w:eastAsia="黑体" w:cs="黑体"/>
          <w:b/>
          <w:bCs/>
          <w:color w:val="000000"/>
          <w:kern w:val="0"/>
          <w:sz w:val="32"/>
          <w:szCs w:val="32"/>
        </w:rPr>
        <w:t>202</w:t>
      </w:r>
      <w:r>
        <w:rPr>
          <w:rFonts w:hint="eastAsia" w:ascii="黑体" w:hAnsi="宋体" w:eastAsia="黑体" w:cs="黑体"/>
          <w:b/>
          <w:bCs/>
          <w:color w:val="000000"/>
          <w:kern w:val="0"/>
          <w:sz w:val="32"/>
          <w:szCs w:val="32"/>
          <w:lang w:val="en-US" w:eastAsia="zh-CN"/>
        </w:rPr>
        <w:t>4</w:t>
      </w:r>
      <w:r>
        <w:rPr>
          <w:rFonts w:hint="eastAsia" w:ascii="黑体" w:hAnsi="宋体" w:eastAsia="黑体" w:cs="黑体"/>
          <w:b/>
          <w:bCs/>
          <w:color w:val="000000"/>
          <w:kern w:val="0"/>
          <w:sz w:val="32"/>
          <w:szCs w:val="32"/>
        </w:rPr>
        <w:t>年国有资本经营收支预算完成情况表</w:t>
      </w:r>
    </w:p>
    <w:tbl>
      <w:tblPr>
        <w:tblStyle w:val="8"/>
        <w:tblW w:w="9264" w:type="dxa"/>
        <w:jc w:val="center"/>
        <w:tblLayout w:type="fixed"/>
        <w:tblCellMar>
          <w:top w:w="0" w:type="dxa"/>
          <w:left w:w="108" w:type="dxa"/>
          <w:bottom w:w="0" w:type="dxa"/>
          <w:right w:w="108" w:type="dxa"/>
        </w:tblCellMar>
      </w:tblPr>
      <w:tblGrid>
        <w:gridCol w:w="2175"/>
        <w:gridCol w:w="1321"/>
        <w:gridCol w:w="1125"/>
        <w:gridCol w:w="2235"/>
        <w:gridCol w:w="1344"/>
        <w:gridCol w:w="1064"/>
      </w:tblGrid>
      <w:tr>
        <w:tblPrEx>
          <w:tblCellMar>
            <w:top w:w="0" w:type="dxa"/>
            <w:left w:w="108" w:type="dxa"/>
            <w:bottom w:w="0" w:type="dxa"/>
            <w:right w:w="108" w:type="dxa"/>
          </w:tblCellMar>
        </w:tblPrEx>
        <w:trPr>
          <w:trHeight w:val="450" w:hRule="atLeast"/>
          <w:jc w:val="center"/>
        </w:trPr>
        <w:tc>
          <w:tcPr>
            <w:tcW w:w="2175" w:type="dxa"/>
            <w:tcBorders>
              <w:top w:val="nil"/>
              <w:left w:val="nil"/>
              <w:bottom w:val="nil"/>
              <w:right w:val="nil"/>
            </w:tcBorders>
            <w:noWrap/>
            <w:vAlign w:val="center"/>
          </w:tcPr>
          <w:p>
            <w:pPr>
              <w:rPr>
                <w:color w:val="000000"/>
                <w:sz w:val="22"/>
                <w:szCs w:val="22"/>
              </w:rPr>
            </w:pPr>
          </w:p>
        </w:tc>
        <w:tc>
          <w:tcPr>
            <w:tcW w:w="1321" w:type="dxa"/>
            <w:tcBorders>
              <w:top w:val="nil"/>
              <w:left w:val="nil"/>
              <w:bottom w:val="nil"/>
              <w:right w:val="nil"/>
            </w:tcBorders>
            <w:noWrap/>
            <w:vAlign w:val="center"/>
          </w:tcPr>
          <w:p>
            <w:pPr>
              <w:rPr>
                <w:rFonts w:ascii="宋体" w:cs="宋体"/>
                <w:color w:val="000000"/>
                <w:sz w:val="24"/>
              </w:rPr>
            </w:pPr>
          </w:p>
        </w:tc>
        <w:tc>
          <w:tcPr>
            <w:tcW w:w="1125" w:type="dxa"/>
            <w:tcBorders>
              <w:top w:val="nil"/>
              <w:left w:val="nil"/>
              <w:bottom w:val="nil"/>
              <w:right w:val="nil"/>
            </w:tcBorders>
            <w:noWrap/>
            <w:vAlign w:val="center"/>
          </w:tcPr>
          <w:p>
            <w:pPr>
              <w:rPr>
                <w:rFonts w:ascii="宋体" w:cs="宋体"/>
                <w:color w:val="000000"/>
                <w:sz w:val="24"/>
              </w:rPr>
            </w:pPr>
          </w:p>
        </w:tc>
        <w:tc>
          <w:tcPr>
            <w:tcW w:w="2235" w:type="dxa"/>
            <w:tcBorders>
              <w:top w:val="nil"/>
              <w:left w:val="nil"/>
              <w:bottom w:val="nil"/>
              <w:right w:val="nil"/>
            </w:tcBorders>
            <w:noWrap/>
            <w:vAlign w:val="center"/>
          </w:tcPr>
          <w:p>
            <w:pPr>
              <w:rPr>
                <w:rFonts w:ascii="宋体" w:cs="宋体"/>
                <w:color w:val="000000"/>
                <w:sz w:val="24"/>
              </w:rPr>
            </w:pPr>
          </w:p>
        </w:tc>
        <w:tc>
          <w:tcPr>
            <w:tcW w:w="2408" w:type="dxa"/>
            <w:gridSpan w:val="2"/>
            <w:tcBorders>
              <w:top w:val="nil"/>
              <w:left w:val="nil"/>
              <w:bottom w:val="nil"/>
              <w:right w:val="nil"/>
            </w:tcBorders>
            <w:noWrap/>
            <w:vAlign w:val="center"/>
          </w:tcPr>
          <w:p>
            <w:pPr>
              <w:widowControl/>
              <w:ind w:firstLine="1000" w:firstLineChars="500"/>
              <w:jc w:val="left"/>
              <w:textAlignment w:val="center"/>
              <w:rPr>
                <w:rFonts w:ascii="宋体" w:cs="宋体"/>
                <w:color w:val="00000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855" w:hRule="atLeast"/>
          <w:jc w:val="center"/>
        </w:trPr>
        <w:tc>
          <w:tcPr>
            <w:tcW w:w="21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2"/>
                <w:szCs w:val="22"/>
              </w:rPr>
            </w:pPr>
            <w:r>
              <w:rPr>
                <w:rFonts w:hint="eastAsia" w:ascii="宋体" w:hAnsi="宋体" w:cs="宋体"/>
                <w:b/>
                <w:bCs/>
                <w:color w:val="000000"/>
                <w:kern w:val="0"/>
                <w:sz w:val="22"/>
                <w:szCs w:val="22"/>
              </w:rPr>
              <w:t>项目</w:t>
            </w:r>
          </w:p>
        </w:tc>
        <w:tc>
          <w:tcPr>
            <w:tcW w:w="132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2"/>
                <w:szCs w:val="22"/>
              </w:rPr>
            </w:pPr>
            <w:r>
              <w:rPr>
                <w:rFonts w:hint="eastAsia" w:ascii="宋体" w:hAnsi="宋体" w:cs="宋体"/>
                <w:b/>
                <w:bCs/>
                <w:color w:val="000000"/>
                <w:kern w:val="0"/>
                <w:sz w:val="22"/>
                <w:szCs w:val="22"/>
              </w:rPr>
              <w:t>调整预算数</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2"/>
                <w:szCs w:val="22"/>
              </w:rPr>
            </w:pPr>
            <w:r>
              <w:rPr>
                <w:rFonts w:hint="eastAsia" w:ascii="宋体" w:hAnsi="宋体" w:cs="宋体"/>
                <w:b/>
                <w:bCs/>
                <w:color w:val="000000"/>
                <w:kern w:val="0"/>
                <w:sz w:val="22"/>
                <w:szCs w:val="22"/>
              </w:rPr>
              <w:t>完成数</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2"/>
                <w:szCs w:val="22"/>
              </w:rPr>
            </w:pPr>
            <w:r>
              <w:rPr>
                <w:rFonts w:hint="eastAsia" w:ascii="宋体" w:hAnsi="宋体" w:cs="宋体"/>
                <w:b/>
                <w:bCs/>
                <w:color w:val="000000"/>
                <w:kern w:val="0"/>
                <w:sz w:val="22"/>
                <w:szCs w:val="22"/>
              </w:rPr>
              <w:t>项目</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2"/>
                <w:szCs w:val="22"/>
              </w:rPr>
            </w:pPr>
            <w:r>
              <w:rPr>
                <w:rFonts w:hint="eastAsia" w:ascii="宋体" w:hAnsi="宋体" w:cs="宋体"/>
                <w:b/>
                <w:bCs/>
                <w:color w:val="000000"/>
                <w:kern w:val="0"/>
                <w:sz w:val="22"/>
                <w:szCs w:val="22"/>
              </w:rPr>
              <w:t>调整预算数</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2"/>
                <w:szCs w:val="22"/>
              </w:rPr>
            </w:pPr>
            <w:r>
              <w:rPr>
                <w:rFonts w:hint="eastAsia" w:ascii="宋体" w:hAnsi="宋体" w:cs="宋体"/>
                <w:b/>
                <w:bCs/>
                <w:color w:val="000000"/>
                <w:kern w:val="0"/>
                <w:sz w:val="22"/>
                <w:szCs w:val="22"/>
              </w:rPr>
              <w:t>完成数</w:t>
            </w:r>
          </w:p>
        </w:tc>
      </w:tr>
      <w:tr>
        <w:tblPrEx>
          <w:tblCellMar>
            <w:top w:w="0" w:type="dxa"/>
            <w:left w:w="108" w:type="dxa"/>
            <w:bottom w:w="0" w:type="dxa"/>
            <w:right w:w="108" w:type="dxa"/>
          </w:tblCellMar>
        </w:tblPrEx>
        <w:trPr>
          <w:trHeight w:val="1095" w:hRule="atLeast"/>
          <w:jc w:val="center"/>
        </w:trPr>
        <w:tc>
          <w:tcPr>
            <w:tcW w:w="21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一、利润收入</w:t>
            </w:r>
          </w:p>
        </w:tc>
        <w:tc>
          <w:tcPr>
            <w:tcW w:w="13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18934</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18950</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一、国有资本经营预算支出</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r>
      <w:tr>
        <w:tblPrEx>
          <w:tblCellMar>
            <w:top w:w="0" w:type="dxa"/>
            <w:left w:w="108" w:type="dxa"/>
            <w:bottom w:w="0" w:type="dxa"/>
            <w:right w:w="108" w:type="dxa"/>
          </w:tblCellMar>
        </w:tblPrEx>
        <w:trPr>
          <w:trHeight w:val="1068" w:hRule="atLeast"/>
          <w:jc w:val="center"/>
        </w:trPr>
        <w:tc>
          <w:tcPr>
            <w:tcW w:w="21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二、股利、股息收入</w:t>
            </w:r>
          </w:p>
        </w:tc>
        <w:tc>
          <w:tcPr>
            <w:tcW w:w="132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c>
          <w:tcPr>
            <w:tcW w:w="223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、解决历史遗留问题及改革成本支出</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37</w:t>
            </w:r>
          </w:p>
        </w:tc>
      </w:tr>
      <w:tr>
        <w:tblPrEx>
          <w:tblCellMar>
            <w:top w:w="0" w:type="dxa"/>
            <w:left w:w="108" w:type="dxa"/>
            <w:bottom w:w="0" w:type="dxa"/>
            <w:right w:w="108" w:type="dxa"/>
          </w:tblCellMar>
        </w:tblPrEx>
        <w:trPr>
          <w:trHeight w:val="1082" w:hRule="atLeast"/>
          <w:jc w:val="center"/>
        </w:trPr>
        <w:tc>
          <w:tcPr>
            <w:tcW w:w="21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三、产权转让收入</w:t>
            </w:r>
          </w:p>
        </w:tc>
        <w:tc>
          <w:tcPr>
            <w:tcW w:w="132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c>
          <w:tcPr>
            <w:tcW w:w="223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2</w:t>
            </w:r>
            <w:r>
              <w:rPr>
                <w:rFonts w:hint="eastAsia" w:ascii="宋体" w:hAnsi="宋体" w:cs="宋体"/>
                <w:color w:val="000000"/>
                <w:kern w:val="0"/>
                <w:sz w:val="20"/>
                <w:szCs w:val="20"/>
              </w:rPr>
              <w:t>、国有企业资本金注入</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r>
      <w:tr>
        <w:tblPrEx>
          <w:tblCellMar>
            <w:top w:w="0" w:type="dxa"/>
            <w:left w:w="108" w:type="dxa"/>
            <w:bottom w:w="0" w:type="dxa"/>
            <w:right w:w="108" w:type="dxa"/>
          </w:tblCellMar>
        </w:tblPrEx>
        <w:trPr>
          <w:trHeight w:val="1096" w:hRule="atLeast"/>
          <w:jc w:val="center"/>
        </w:trPr>
        <w:tc>
          <w:tcPr>
            <w:tcW w:w="21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四、清算收入</w:t>
            </w:r>
          </w:p>
        </w:tc>
        <w:tc>
          <w:tcPr>
            <w:tcW w:w="132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c>
          <w:tcPr>
            <w:tcW w:w="223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3</w:t>
            </w:r>
            <w:r>
              <w:rPr>
                <w:rFonts w:hint="eastAsia" w:ascii="宋体" w:hAnsi="宋体" w:cs="宋体"/>
                <w:color w:val="000000"/>
                <w:kern w:val="0"/>
                <w:sz w:val="20"/>
                <w:szCs w:val="20"/>
              </w:rPr>
              <w:t>、其他国有资本经营预算支出</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27</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both"/>
              <w:rPr>
                <w:rFonts w:ascii="宋体" w:cs="宋体"/>
                <w:color w:val="000000"/>
                <w:sz w:val="20"/>
                <w:szCs w:val="20"/>
              </w:rPr>
            </w:pPr>
          </w:p>
        </w:tc>
      </w:tr>
      <w:tr>
        <w:tblPrEx>
          <w:tblCellMar>
            <w:top w:w="0" w:type="dxa"/>
            <w:left w:w="108" w:type="dxa"/>
            <w:bottom w:w="0" w:type="dxa"/>
            <w:right w:w="108" w:type="dxa"/>
          </w:tblCellMar>
        </w:tblPrEx>
        <w:trPr>
          <w:trHeight w:val="799" w:hRule="atLeast"/>
          <w:jc w:val="center"/>
        </w:trPr>
        <w:tc>
          <w:tcPr>
            <w:tcW w:w="21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五、其他国有资本经营预算收入</w:t>
            </w:r>
          </w:p>
        </w:tc>
        <w:tc>
          <w:tcPr>
            <w:tcW w:w="13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23</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7</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pPr>
              <w:jc w:val="both"/>
              <w:rPr>
                <w:rFonts w:ascii="宋体" w:cs="宋体"/>
                <w:color w:val="000000"/>
                <w:sz w:val="24"/>
              </w:rPr>
            </w:pP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both"/>
              <w:rPr>
                <w:rFonts w:ascii="宋体" w:cs="宋体"/>
                <w:color w:val="000000"/>
                <w:sz w:val="24"/>
              </w:rPr>
            </w:pPr>
          </w:p>
        </w:tc>
      </w:tr>
      <w:tr>
        <w:tblPrEx>
          <w:tblCellMar>
            <w:top w:w="0" w:type="dxa"/>
            <w:left w:w="108" w:type="dxa"/>
            <w:bottom w:w="0" w:type="dxa"/>
            <w:right w:w="108" w:type="dxa"/>
          </w:tblCellMar>
        </w:tblPrEx>
        <w:trPr>
          <w:trHeight w:val="1036" w:hRule="atLeast"/>
          <w:jc w:val="center"/>
        </w:trPr>
        <w:tc>
          <w:tcPr>
            <w:tcW w:w="21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六、国有资本经营预算转移支付收入</w:t>
            </w:r>
          </w:p>
        </w:tc>
        <w:tc>
          <w:tcPr>
            <w:tcW w:w="1321" w:type="dxa"/>
            <w:tcBorders>
              <w:top w:val="single" w:color="000000" w:sz="4" w:space="0"/>
              <w:left w:val="single" w:color="000000" w:sz="4" w:space="0"/>
              <w:bottom w:val="single" w:color="000000" w:sz="4" w:space="0"/>
              <w:right w:val="single" w:color="000000" w:sz="4" w:space="0"/>
            </w:tcBorders>
            <w:noWrap/>
            <w:vAlign w:val="bottom"/>
          </w:tcPr>
          <w:p>
            <w:pPr>
              <w:jc w:val="right"/>
              <w:rPr>
                <w:rFonts w:ascii="宋体" w:cs="宋体"/>
                <w:color w:val="000000"/>
                <w:sz w:val="20"/>
                <w:szCs w:val="20"/>
              </w:rPr>
            </w:pPr>
          </w:p>
        </w:tc>
        <w:tc>
          <w:tcPr>
            <w:tcW w:w="1125" w:type="dxa"/>
            <w:tcBorders>
              <w:top w:val="single" w:color="000000" w:sz="4" w:space="0"/>
              <w:left w:val="single" w:color="000000" w:sz="4" w:space="0"/>
              <w:bottom w:val="single" w:color="000000" w:sz="4" w:space="0"/>
              <w:right w:val="single" w:color="000000" w:sz="4" w:space="0"/>
            </w:tcBorders>
            <w:noWrap/>
            <w:vAlign w:val="bottom"/>
          </w:tcPr>
          <w:p>
            <w:pPr>
              <w:jc w:val="right"/>
              <w:rPr>
                <w:rFonts w:ascii="宋体" w:cs="宋体"/>
                <w:color w:val="000000"/>
                <w:sz w:val="20"/>
                <w:szCs w:val="20"/>
              </w:rPr>
            </w:pPr>
          </w:p>
        </w:tc>
        <w:tc>
          <w:tcPr>
            <w:tcW w:w="2235"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sz w:val="20"/>
                <w:szCs w:val="20"/>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pPr>
              <w:jc w:val="both"/>
              <w:rPr>
                <w:rFonts w:ascii="宋体" w:cs="宋体"/>
                <w:color w:val="000000"/>
                <w:sz w:val="20"/>
                <w:szCs w:val="20"/>
              </w:rPr>
            </w:pP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both"/>
              <w:rPr>
                <w:rFonts w:ascii="宋体" w:cs="宋体"/>
                <w:color w:val="000000"/>
                <w:sz w:val="20"/>
                <w:szCs w:val="20"/>
              </w:rPr>
            </w:pPr>
          </w:p>
        </w:tc>
      </w:tr>
      <w:tr>
        <w:tblPrEx>
          <w:tblCellMar>
            <w:top w:w="0" w:type="dxa"/>
            <w:left w:w="108" w:type="dxa"/>
            <w:bottom w:w="0" w:type="dxa"/>
            <w:right w:w="108" w:type="dxa"/>
          </w:tblCellMar>
        </w:tblPrEx>
        <w:trPr>
          <w:trHeight w:val="560" w:hRule="atLeast"/>
          <w:jc w:val="center"/>
        </w:trPr>
        <w:tc>
          <w:tcPr>
            <w:tcW w:w="21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b/>
                <w:bCs/>
                <w:color w:val="000000"/>
                <w:sz w:val="20"/>
                <w:szCs w:val="20"/>
              </w:rPr>
            </w:pPr>
            <w:r>
              <w:rPr>
                <w:rFonts w:hint="eastAsia" w:ascii="宋体" w:hAnsi="宋体" w:cs="宋体"/>
                <w:b/>
                <w:bCs/>
                <w:color w:val="000000"/>
                <w:kern w:val="0"/>
                <w:sz w:val="20"/>
                <w:szCs w:val="20"/>
              </w:rPr>
              <w:t>本年收入合计</w:t>
            </w:r>
          </w:p>
        </w:tc>
        <w:tc>
          <w:tcPr>
            <w:tcW w:w="13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18957</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18957</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b/>
                <w:bCs/>
                <w:color w:val="000000"/>
                <w:sz w:val="20"/>
                <w:szCs w:val="20"/>
              </w:rPr>
            </w:pPr>
            <w:r>
              <w:rPr>
                <w:rFonts w:hint="eastAsia" w:ascii="宋体" w:hAnsi="宋体" w:cs="宋体"/>
                <w:b/>
                <w:bCs/>
                <w:color w:val="000000"/>
                <w:kern w:val="0"/>
                <w:sz w:val="20"/>
                <w:szCs w:val="20"/>
              </w:rPr>
              <w:t>本年支出合计</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37</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37</w:t>
            </w:r>
          </w:p>
        </w:tc>
      </w:tr>
      <w:tr>
        <w:tblPrEx>
          <w:tblCellMar>
            <w:top w:w="0" w:type="dxa"/>
            <w:left w:w="108" w:type="dxa"/>
            <w:bottom w:w="0" w:type="dxa"/>
            <w:right w:w="108" w:type="dxa"/>
          </w:tblCellMar>
        </w:tblPrEx>
        <w:trPr>
          <w:trHeight w:val="620" w:hRule="atLeast"/>
          <w:jc w:val="center"/>
        </w:trPr>
        <w:tc>
          <w:tcPr>
            <w:tcW w:w="21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上级补助收入</w:t>
            </w:r>
          </w:p>
        </w:tc>
        <w:tc>
          <w:tcPr>
            <w:tcW w:w="13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9</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0"/>
                <w:szCs w:val="20"/>
              </w:rPr>
            </w:pPr>
            <w:r>
              <w:rPr>
                <w:rFonts w:ascii="宋体" w:hAnsi="宋体" w:cs="宋体"/>
                <w:color w:val="000000"/>
                <w:kern w:val="0"/>
                <w:sz w:val="20"/>
                <w:szCs w:val="20"/>
              </w:rPr>
              <w:t xml:space="preserve"> </w:t>
            </w:r>
            <w:r>
              <w:rPr>
                <w:rFonts w:hint="eastAsia" w:ascii="宋体" w:hAnsi="宋体" w:cs="宋体"/>
                <w:color w:val="000000"/>
                <w:kern w:val="0"/>
                <w:sz w:val="20"/>
                <w:szCs w:val="20"/>
              </w:rPr>
              <w:t>二、调出资金（一般公共预算）</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18930</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18929</w:t>
            </w:r>
          </w:p>
        </w:tc>
      </w:tr>
      <w:tr>
        <w:tblPrEx>
          <w:tblCellMar>
            <w:top w:w="0" w:type="dxa"/>
            <w:left w:w="108" w:type="dxa"/>
            <w:bottom w:w="0" w:type="dxa"/>
            <w:right w:w="108" w:type="dxa"/>
          </w:tblCellMar>
        </w:tblPrEx>
        <w:trPr>
          <w:trHeight w:val="1095" w:hRule="atLeast"/>
          <w:jc w:val="center"/>
        </w:trPr>
        <w:tc>
          <w:tcPr>
            <w:tcW w:w="2175"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cs="宋体"/>
                <w:color w:val="000000"/>
                <w:sz w:val="20"/>
                <w:szCs w:val="20"/>
              </w:rPr>
            </w:pPr>
            <w:r>
              <w:rPr>
                <w:rFonts w:hint="eastAsia" w:ascii="宋体" w:hAnsi="宋体" w:cs="宋体"/>
                <w:color w:val="000000"/>
                <w:kern w:val="0"/>
                <w:sz w:val="20"/>
                <w:szCs w:val="20"/>
              </w:rPr>
              <w:t>上年结余收入（指上年超收收入应编入当年预算的资金）</w:t>
            </w:r>
          </w:p>
        </w:tc>
        <w:tc>
          <w:tcPr>
            <w:tcW w:w="13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c>
          <w:tcPr>
            <w:tcW w:w="2235" w:type="dxa"/>
            <w:tcBorders>
              <w:top w:val="single" w:color="000000" w:sz="4" w:space="0"/>
              <w:left w:val="single" w:color="000000" w:sz="4" w:space="0"/>
              <w:bottom w:val="single" w:color="000000" w:sz="4" w:space="0"/>
              <w:right w:val="single" w:color="000000" w:sz="4" w:space="0"/>
            </w:tcBorders>
            <w:noWrap/>
            <w:vAlign w:val="center"/>
          </w:tcPr>
          <w:p>
            <w:pPr>
              <w:rPr>
                <w:rFonts w:ascii="宋体" w:cs="宋体"/>
                <w:color w:val="000000"/>
                <w:sz w:val="24"/>
              </w:rPr>
            </w:pPr>
          </w:p>
        </w:tc>
        <w:tc>
          <w:tcPr>
            <w:tcW w:w="1344" w:type="dxa"/>
            <w:tcBorders>
              <w:top w:val="single" w:color="000000" w:sz="4" w:space="0"/>
              <w:left w:val="single" w:color="000000" w:sz="4" w:space="0"/>
              <w:bottom w:val="single" w:color="000000" w:sz="4" w:space="0"/>
              <w:right w:val="single" w:color="000000" w:sz="4" w:space="0"/>
            </w:tcBorders>
            <w:noWrap/>
            <w:vAlign w:val="center"/>
          </w:tcPr>
          <w:p>
            <w:pPr>
              <w:jc w:val="both"/>
              <w:rPr>
                <w:rFonts w:ascii="宋体" w:cs="宋体"/>
                <w:color w:val="000000"/>
                <w:sz w:val="24"/>
              </w:rPr>
            </w:pPr>
          </w:p>
        </w:tc>
        <w:tc>
          <w:tcPr>
            <w:tcW w:w="1064"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20"/>
                <w:szCs w:val="20"/>
              </w:rPr>
            </w:pPr>
          </w:p>
        </w:tc>
      </w:tr>
      <w:tr>
        <w:tblPrEx>
          <w:tblCellMar>
            <w:top w:w="0" w:type="dxa"/>
            <w:left w:w="108" w:type="dxa"/>
            <w:bottom w:w="0" w:type="dxa"/>
            <w:right w:w="108" w:type="dxa"/>
          </w:tblCellMar>
        </w:tblPrEx>
        <w:trPr>
          <w:trHeight w:val="540" w:hRule="atLeast"/>
          <w:jc w:val="center"/>
        </w:trPr>
        <w:tc>
          <w:tcPr>
            <w:tcW w:w="21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收入总计</w:t>
            </w:r>
          </w:p>
        </w:tc>
        <w:tc>
          <w:tcPr>
            <w:tcW w:w="13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18967</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18966</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支出总计</w:t>
            </w:r>
          </w:p>
        </w:tc>
        <w:tc>
          <w:tcPr>
            <w:tcW w:w="13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18967</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cs="宋体"/>
                <w:color w:val="000000"/>
                <w:sz w:val="20"/>
                <w:szCs w:val="20"/>
              </w:rPr>
            </w:pPr>
            <w:r>
              <w:rPr>
                <w:rFonts w:hint="eastAsia" w:ascii="宋体" w:hAnsi="宋体" w:eastAsia="宋体" w:cs="宋体"/>
                <w:i w:val="0"/>
                <w:color w:val="000000"/>
                <w:kern w:val="0"/>
                <w:sz w:val="20"/>
                <w:szCs w:val="20"/>
                <w:u w:val="none"/>
                <w:lang w:val="en-US" w:eastAsia="zh-CN" w:bidi="ar"/>
              </w:rPr>
              <w:t>18966</w:t>
            </w:r>
          </w:p>
        </w:tc>
      </w:tr>
    </w:tbl>
    <w:p>
      <w:pPr>
        <w:jc w:val="left"/>
      </w:pPr>
    </w:p>
    <w:p/>
    <w:sectPr>
      <w:footerReference r:id="rId5" w:type="default"/>
      <w:pgSz w:w="11907" w:h="16840"/>
      <w:pgMar w:top="1985" w:right="1304" w:bottom="1701" w:left="1758" w:header="851" w:footer="1418"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Style w:val="11"/>
                    <w:rFonts w:asci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- 63 -</w:t>
                </w:r>
                <w:r>
                  <w:rPr>
                    <w:rStyle w:val="11"/>
                    <w:rFonts w:ascii="宋体" w:hAnsi="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3C6839"/>
    <w:multiLevelType w:val="singleLevel"/>
    <w:tmpl w:val="AF3C6839"/>
    <w:lvl w:ilvl="0" w:tentative="0">
      <w:start w:val="6"/>
      <w:numFmt w:val="chineseCounting"/>
      <w:suff w:val="nothing"/>
      <w:lvlText w:val="（%1）"/>
      <w:lvlJc w:val="left"/>
      <w:rPr>
        <w:rFonts w:hint="eastAsia"/>
      </w:rPr>
    </w:lvl>
  </w:abstractNum>
  <w:abstractNum w:abstractNumId="1">
    <w:nsid w:val="0D3764AB"/>
    <w:multiLevelType w:val="singleLevel"/>
    <w:tmpl w:val="0D3764AB"/>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U3YmFhMWM0MGFhMDU1ODI0NTBjZDcyMTRkOWIwYTUifQ=="/>
  </w:docVars>
  <w:rsids>
    <w:rsidRoot w:val="53236BE0"/>
    <w:rsid w:val="002F65BC"/>
    <w:rsid w:val="003B4015"/>
    <w:rsid w:val="00552528"/>
    <w:rsid w:val="005718FE"/>
    <w:rsid w:val="00582CE7"/>
    <w:rsid w:val="0062024E"/>
    <w:rsid w:val="006B692E"/>
    <w:rsid w:val="006C0AB3"/>
    <w:rsid w:val="0079701E"/>
    <w:rsid w:val="007C4BAD"/>
    <w:rsid w:val="007D329E"/>
    <w:rsid w:val="008A29D0"/>
    <w:rsid w:val="008B7F4D"/>
    <w:rsid w:val="008D0E31"/>
    <w:rsid w:val="008E1AB3"/>
    <w:rsid w:val="0097271D"/>
    <w:rsid w:val="00A56359"/>
    <w:rsid w:val="00BD714F"/>
    <w:rsid w:val="00BF1F38"/>
    <w:rsid w:val="00C011D2"/>
    <w:rsid w:val="00C875EC"/>
    <w:rsid w:val="00D11F81"/>
    <w:rsid w:val="00D324AD"/>
    <w:rsid w:val="00F27110"/>
    <w:rsid w:val="00F94F8B"/>
    <w:rsid w:val="00FC18BF"/>
    <w:rsid w:val="01314A1F"/>
    <w:rsid w:val="018A41E4"/>
    <w:rsid w:val="01D00C4F"/>
    <w:rsid w:val="020705EE"/>
    <w:rsid w:val="023835A8"/>
    <w:rsid w:val="02846BE6"/>
    <w:rsid w:val="02846F72"/>
    <w:rsid w:val="02B66CE8"/>
    <w:rsid w:val="030324B5"/>
    <w:rsid w:val="030C6181"/>
    <w:rsid w:val="03387E90"/>
    <w:rsid w:val="03D0403E"/>
    <w:rsid w:val="03EF7383"/>
    <w:rsid w:val="042C4D16"/>
    <w:rsid w:val="0480443D"/>
    <w:rsid w:val="04AC0FAD"/>
    <w:rsid w:val="04AD078E"/>
    <w:rsid w:val="04B070C0"/>
    <w:rsid w:val="050749A6"/>
    <w:rsid w:val="053329CC"/>
    <w:rsid w:val="055571CC"/>
    <w:rsid w:val="05863621"/>
    <w:rsid w:val="058C64BF"/>
    <w:rsid w:val="0599639D"/>
    <w:rsid w:val="05BC739C"/>
    <w:rsid w:val="05F01B63"/>
    <w:rsid w:val="05FB68F8"/>
    <w:rsid w:val="062A6220"/>
    <w:rsid w:val="06326128"/>
    <w:rsid w:val="066B4E94"/>
    <w:rsid w:val="069A544E"/>
    <w:rsid w:val="06C9274F"/>
    <w:rsid w:val="06F62301"/>
    <w:rsid w:val="071467A2"/>
    <w:rsid w:val="073B5D0D"/>
    <w:rsid w:val="078A72B1"/>
    <w:rsid w:val="07AB2C37"/>
    <w:rsid w:val="07C341B2"/>
    <w:rsid w:val="07CB178C"/>
    <w:rsid w:val="07DB65B2"/>
    <w:rsid w:val="07EF5350"/>
    <w:rsid w:val="08260B11"/>
    <w:rsid w:val="085A378A"/>
    <w:rsid w:val="08ED0A0B"/>
    <w:rsid w:val="090757D5"/>
    <w:rsid w:val="091D0F40"/>
    <w:rsid w:val="092A208A"/>
    <w:rsid w:val="097B16AA"/>
    <w:rsid w:val="09AD2A7C"/>
    <w:rsid w:val="0A0D36BD"/>
    <w:rsid w:val="0A387CBF"/>
    <w:rsid w:val="0A400AFA"/>
    <w:rsid w:val="0A4F1EE9"/>
    <w:rsid w:val="0A7E7A85"/>
    <w:rsid w:val="0A810E2C"/>
    <w:rsid w:val="0AB35D44"/>
    <w:rsid w:val="0ACA41ED"/>
    <w:rsid w:val="0B5C34BC"/>
    <w:rsid w:val="0B9E6ADE"/>
    <w:rsid w:val="0BB1677C"/>
    <w:rsid w:val="0BD1285C"/>
    <w:rsid w:val="0C1E6B93"/>
    <w:rsid w:val="0C333657"/>
    <w:rsid w:val="0C691447"/>
    <w:rsid w:val="0C705412"/>
    <w:rsid w:val="0C7474FC"/>
    <w:rsid w:val="0C994E3D"/>
    <w:rsid w:val="0CDC23BB"/>
    <w:rsid w:val="0CE132E7"/>
    <w:rsid w:val="0CFE451B"/>
    <w:rsid w:val="0D496971"/>
    <w:rsid w:val="0D7C4F85"/>
    <w:rsid w:val="0D853FA8"/>
    <w:rsid w:val="0DEF1507"/>
    <w:rsid w:val="0E153BC9"/>
    <w:rsid w:val="0E597FF7"/>
    <w:rsid w:val="0E783911"/>
    <w:rsid w:val="0E8345EE"/>
    <w:rsid w:val="0EB2104F"/>
    <w:rsid w:val="0EBD483A"/>
    <w:rsid w:val="0F534C27"/>
    <w:rsid w:val="0F657861"/>
    <w:rsid w:val="0FA9336B"/>
    <w:rsid w:val="0FD8615C"/>
    <w:rsid w:val="106A20A8"/>
    <w:rsid w:val="10827898"/>
    <w:rsid w:val="10CE0641"/>
    <w:rsid w:val="10DA11A9"/>
    <w:rsid w:val="11123977"/>
    <w:rsid w:val="117B4A98"/>
    <w:rsid w:val="118C2294"/>
    <w:rsid w:val="11A575EF"/>
    <w:rsid w:val="11C170D8"/>
    <w:rsid w:val="11EF090E"/>
    <w:rsid w:val="12193A6C"/>
    <w:rsid w:val="12372A5B"/>
    <w:rsid w:val="1249254C"/>
    <w:rsid w:val="12C760E5"/>
    <w:rsid w:val="12CC0190"/>
    <w:rsid w:val="12D57BDE"/>
    <w:rsid w:val="12F31859"/>
    <w:rsid w:val="130834E7"/>
    <w:rsid w:val="131202F5"/>
    <w:rsid w:val="131A36AA"/>
    <w:rsid w:val="133C552A"/>
    <w:rsid w:val="133F7CCC"/>
    <w:rsid w:val="134E7C4E"/>
    <w:rsid w:val="13AF7527"/>
    <w:rsid w:val="13C66A8A"/>
    <w:rsid w:val="1429152A"/>
    <w:rsid w:val="14361676"/>
    <w:rsid w:val="148E57CB"/>
    <w:rsid w:val="14985C13"/>
    <w:rsid w:val="14C25BA8"/>
    <w:rsid w:val="14D1616D"/>
    <w:rsid w:val="14D64690"/>
    <w:rsid w:val="151E78B1"/>
    <w:rsid w:val="154C15CC"/>
    <w:rsid w:val="15671726"/>
    <w:rsid w:val="156B7A41"/>
    <w:rsid w:val="15817879"/>
    <w:rsid w:val="15A25B18"/>
    <w:rsid w:val="15A50790"/>
    <w:rsid w:val="15E1171F"/>
    <w:rsid w:val="15EB19A2"/>
    <w:rsid w:val="163D5AE4"/>
    <w:rsid w:val="166E249C"/>
    <w:rsid w:val="171B12A6"/>
    <w:rsid w:val="17341C5A"/>
    <w:rsid w:val="17A60FC3"/>
    <w:rsid w:val="181E762C"/>
    <w:rsid w:val="18246BBE"/>
    <w:rsid w:val="182E0426"/>
    <w:rsid w:val="183D10D1"/>
    <w:rsid w:val="187A7D81"/>
    <w:rsid w:val="18D10299"/>
    <w:rsid w:val="18F86525"/>
    <w:rsid w:val="190D3FE0"/>
    <w:rsid w:val="19303A60"/>
    <w:rsid w:val="19404560"/>
    <w:rsid w:val="19657119"/>
    <w:rsid w:val="19A13CD6"/>
    <w:rsid w:val="19A4088F"/>
    <w:rsid w:val="19D67324"/>
    <w:rsid w:val="19FF246D"/>
    <w:rsid w:val="1A585F3C"/>
    <w:rsid w:val="1A710397"/>
    <w:rsid w:val="1A947361"/>
    <w:rsid w:val="1AC05C62"/>
    <w:rsid w:val="1AC37BE7"/>
    <w:rsid w:val="1B2751AB"/>
    <w:rsid w:val="1B3E3435"/>
    <w:rsid w:val="1B514D13"/>
    <w:rsid w:val="1BEA427F"/>
    <w:rsid w:val="1C041829"/>
    <w:rsid w:val="1C0A1C83"/>
    <w:rsid w:val="1C4D5F9E"/>
    <w:rsid w:val="1C9166E8"/>
    <w:rsid w:val="1C9476F3"/>
    <w:rsid w:val="1C960314"/>
    <w:rsid w:val="1C9E4C26"/>
    <w:rsid w:val="1CC22875"/>
    <w:rsid w:val="1D004DCA"/>
    <w:rsid w:val="1D045255"/>
    <w:rsid w:val="1D1455E1"/>
    <w:rsid w:val="1D5C2DB1"/>
    <w:rsid w:val="1DF97411"/>
    <w:rsid w:val="1E095243"/>
    <w:rsid w:val="1E214A63"/>
    <w:rsid w:val="1E8471BF"/>
    <w:rsid w:val="1EE37271"/>
    <w:rsid w:val="1EEC23F8"/>
    <w:rsid w:val="1F3B71BC"/>
    <w:rsid w:val="1F6F5E1B"/>
    <w:rsid w:val="1F7D276C"/>
    <w:rsid w:val="1F8B0A00"/>
    <w:rsid w:val="1FA04E1F"/>
    <w:rsid w:val="1FC27E2B"/>
    <w:rsid w:val="202A34C7"/>
    <w:rsid w:val="20550564"/>
    <w:rsid w:val="20932D66"/>
    <w:rsid w:val="209F396B"/>
    <w:rsid w:val="20D949D5"/>
    <w:rsid w:val="21147CC7"/>
    <w:rsid w:val="2121074D"/>
    <w:rsid w:val="21513428"/>
    <w:rsid w:val="21F81895"/>
    <w:rsid w:val="22780F62"/>
    <w:rsid w:val="228C0B50"/>
    <w:rsid w:val="23526B79"/>
    <w:rsid w:val="235351B1"/>
    <w:rsid w:val="23606C2C"/>
    <w:rsid w:val="23BD2975"/>
    <w:rsid w:val="23CA2426"/>
    <w:rsid w:val="23D518AA"/>
    <w:rsid w:val="23D826C8"/>
    <w:rsid w:val="23EC5B73"/>
    <w:rsid w:val="23FF2B13"/>
    <w:rsid w:val="24356F14"/>
    <w:rsid w:val="245E40AA"/>
    <w:rsid w:val="249A6D87"/>
    <w:rsid w:val="25274EF0"/>
    <w:rsid w:val="252F7209"/>
    <w:rsid w:val="253B297B"/>
    <w:rsid w:val="259C5CAE"/>
    <w:rsid w:val="25A254CB"/>
    <w:rsid w:val="25D240DF"/>
    <w:rsid w:val="260B532B"/>
    <w:rsid w:val="265D4EF6"/>
    <w:rsid w:val="267A51EB"/>
    <w:rsid w:val="268B3878"/>
    <w:rsid w:val="268F3FF5"/>
    <w:rsid w:val="26AC3946"/>
    <w:rsid w:val="26B61DF2"/>
    <w:rsid w:val="26D0522F"/>
    <w:rsid w:val="26F13B83"/>
    <w:rsid w:val="27053CE0"/>
    <w:rsid w:val="27545E69"/>
    <w:rsid w:val="27796C51"/>
    <w:rsid w:val="27BB79DF"/>
    <w:rsid w:val="27EA4693"/>
    <w:rsid w:val="28052C0B"/>
    <w:rsid w:val="280A19F8"/>
    <w:rsid w:val="284C1EA7"/>
    <w:rsid w:val="286B09F7"/>
    <w:rsid w:val="287D1F76"/>
    <w:rsid w:val="2896471B"/>
    <w:rsid w:val="28F40674"/>
    <w:rsid w:val="29136443"/>
    <w:rsid w:val="291B43AB"/>
    <w:rsid w:val="293343AF"/>
    <w:rsid w:val="294A2874"/>
    <w:rsid w:val="29602846"/>
    <w:rsid w:val="29AE39FA"/>
    <w:rsid w:val="29DA6D38"/>
    <w:rsid w:val="29F24B57"/>
    <w:rsid w:val="29F75A8F"/>
    <w:rsid w:val="2A2543C4"/>
    <w:rsid w:val="2A493AB3"/>
    <w:rsid w:val="2A5D3165"/>
    <w:rsid w:val="2ABF4110"/>
    <w:rsid w:val="2B1B2353"/>
    <w:rsid w:val="2B784118"/>
    <w:rsid w:val="2B877AFD"/>
    <w:rsid w:val="2B995B94"/>
    <w:rsid w:val="2BC90AC3"/>
    <w:rsid w:val="2BE85466"/>
    <w:rsid w:val="2C144D56"/>
    <w:rsid w:val="2C183ABC"/>
    <w:rsid w:val="2C263178"/>
    <w:rsid w:val="2C4D7237"/>
    <w:rsid w:val="2C51700C"/>
    <w:rsid w:val="2C531A7B"/>
    <w:rsid w:val="2C535481"/>
    <w:rsid w:val="2C801C01"/>
    <w:rsid w:val="2C9E36B1"/>
    <w:rsid w:val="2CF70813"/>
    <w:rsid w:val="2D0561E3"/>
    <w:rsid w:val="2D2C360E"/>
    <w:rsid w:val="2D653DA8"/>
    <w:rsid w:val="2D720F88"/>
    <w:rsid w:val="2D86707A"/>
    <w:rsid w:val="2D951859"/>
    <w:rsid w:val="2E492022"/>
    <w:rsid w:val="2E8060A5"/>
    <w:rsid w:val="2EDD4311"/>
    <w:rsid w:val="2EE33907"/>
    <w:rsid w:val="2F1633C1"/>
    <w:rsid w:val="2F5E4FE8"/>
    <w:rsid w:val="2FD5101B"/>
    <w:rsid w:val="2FFE584A"/>
    <w:rsid w:val="301706C4"/>
    <w:rsid w:val="30252D0D"/>
    <w:rsid w:val="309919ED"/>
    <w:rsid w:val="309F108C"/>
    <w:rsid w:val="30AC6246"/>
    <w:rsid w:val="30AD4B01"/>
    <w:rsid w:val="30E13CA4"/>
    <w:rsid w:val="30FF5BB2"/>
    <w:rsid w:val="31F238D5"/>
    <w:rsid w:val="31FC7961"/>
    <w:rsid w:val="325106BA"/>
    <w:rsid w:val="328709CF"/>
    <w:rsid w:val="32CC2AF0"/>
    <w:rsid w:val="32DC4984"/>
    <w:rsid w:val="32F6372C"/>
    <w:rsid w:val="330618A4"/>
    <w:rsid w:val="33264CC2"/>
    <w:rsid w:val="33594023"/>
    <w:rsid w:val="335B1B1A"/>
    <w:rsid w:val="337707E3"/>
    <w:rsid w:val="33886981"/>
    <w:rsid w:val="33A31988"/>
    <w:rsid w:val="34402061"/>
    <w:rsid w:val="344B36DE"/>
    <w:rsid w:val="348201F2"/>
    <w:rsid w:val="34A95B65"/>
    <w:rsid w:val="34EA14C4"/>
    <w:rsid w:val="35130D05"/>
    <w:rsid w:val="351E03C0"/>
    <w:rsid w:val="35351D64"/>
    <w:rsid w:val="354C3F0B"/>
    <w:rsid w:val="35B8244B"/>
    <w:rsid w:val="35CB3147"/>
    <w:rsid w:val="35F52600"/>
    <w:rsid w:val="360A0033"/>
    <w:rsid w:val="360E1E33"/>
    <w:rsid w:val="361E39F2"/>
    <w:rsid w:val="36282D0F"/>
    <w:rsid w:val="36463EC0"/>
    <w:rsid w:val="36BC5F70"/>
    <w:rsid w:val="37061E4D"/>
    <w:rsid w:val="371D480C"/>
    <w:rsid w:val="3726406A"/>
    <w:rsid w:val="379A0B44"/>
    <w:rsid w:val="381E728D"/>
    <w:rsid w:val="386047B5"/>
    <w:rsid w:val="38B07C62"/>
    <w:rsid w:val="38BF0D3E"/>
    <w:rsid w:val="38F040D2"/>
    <w:rsid w:val="38F84885"/>
    <w:rsid w:val="39036783"/>
    <w:rsid w:val="391566AE"/>
    <w:rsid w:val="391653A6"/>
    <w:rsid w:val="39214BD8"/>
    <w:rsid w:val="39350749"/>
    <w:rsid w:val="3936553A"/>
    <w:rsid w:val="393963E5"/>
    <w:rsid w:val="39575697"/>
    <w:rsid w:val="396A1415"/>
    <w:rsid w:val="39972ABB"/>
    <w:rsid w:val="39D64CA4"/>
    <w:rsid w:val="39E03B10"/>
    <w:rsid w:val="3AAD248A"/>
    <w:rsid w:val="3AB85071"/>
    <w:rsid w:val="3AC529B8"/>
    <w:rsid w:val="3B5D353F"/>
    <w:rsid w:val="3B6F50AB"/>
    <w:rsid w:val="3B9B5A23"/>
    <w:rsid w:val="3BAF4B4B"/>
    <w:rsid w:val="3C1A51A0"/>
    <w:rsid w:val="3C59174C"/>
    <w:rsid w:val="3CB4039A"/>
    <w:rsid w:val="3CEC42A1"/>
    <w:rsid w:val="3D20032B"/>
    <w:rsid w:val="3D3B3A85"/>
    <w:rsid w:val="3D4A0C1B"/>
    <w:rsid w:val="3D8A5C7E"/>
    <w:rsid w:val="3DB47059"/>
    <w:rsid w:val="3E1965D8"/>
    <w:rsid w:val="3E1A58AA"/>
    <w:rsid w:val="3E8F34EE"/>
    <w:rsid w:val="3E9C62C4"/>
    <w:rsid w:val="3EC42D1B"/>
    <w:rsid w:val="3F4F30DD"/>
    <w:rsid w:val="3F5A3C3C"/>
    <w:rsid w:val="40460AEA"/>
    <w:rsid w:val="40670F9F"/>
    <w:rsid w:val="407526CA"/>
    <w:rsid w:val="408570A1"/>
    <w:rsid w:val="40A30BB9"/>
    <w:rsid w:val="40D02751"/>
    <w:rsid w:val="41241D11"/>
    <w:rsid w:val="417A4B7C"/>
    <w:rsid w:val="41A06B78"/>
    <w:rsid w:val="41A237C6"/>
    <w:rsid w:val="421C6B06"/>
    <w:rsid w:val="422571DB"/>
    <w:rsid w:val="426E15D8"/>
    <w:rsid w:val="4289688D"/>
    <w:rsid w:val="429A1DED"/>
    <w:rsid w:val="42A95645"/>
    <w:rsid w:val="42C272EA"/>
    <w:rsid w:val="42CA1718"/>
    <w:rsid w:val="436C4D57"/>
    <w:rsid w:val="444E7142"/>
    <w:rsid w:val="449A7119"/>
    <w:rsid w:val="44C15FFB"/>
    <w:rsid w:val="45232E45"/>
    <w:rsid w:val="45270522"/>
    <w:rsid w:val="45425973"/>
    <w:rsid w:val="45A50328"/>
    <w:rsid w:val="461B1787"/>
    <w:rsid w:val="4632352F"/>
    <w:rsid w:val="46450AF3"/>
    <w:rsid w:val="464B35E8"/>
    <w:rsid w:val="464D61FC"/>
    <w:rsid w:val="469E3430"/>
    <w:rsid w:val="46AC78DE"/>
    <w:rsid w:val="46B81622"/>
    <w:rsid w:val="46B86D28"/>
    <w:rsid w:val="46F279BA"/>
    <w:rsid w:val="47DB04B1"/>
    <w:rsid w:val="47EF6E9B"/>
    <w:rsid w:val="480821E2"/>
    <w:rsid w:val="483F2496"/>
    <w:rsid w:val="484940C6"/>
    <w:rsid w:val="48517E57"/>
    <w:rsid w:val="48547BC5"/>
    <w:rsid w:val="486B126E"/>
    <w:rsid w:val="48826761"/>
    <w:rsid w:val="4897431F"/>
    <w:rsid w:val="48A07D2E"/>
    <w:rsid w:val="48AA75D0"/>
    <w:rsid w:val="48CE117B"/>
    <w:rsid w:val="48E357B3"/>
    <w:rsid w:val="48E35D6C"/>
    <w:rsid w:val="49A1710A"/>
    <w:rsid w:val="4A0B5F87"/>
    <w:rsid w:val="4A4F46C1"/>
    <w:rsid w:val="4A876BD5"/>
    <w:rsid w:val="4A9F4255"/>
    <w:rsid w:val="4AA93806"/>
    <w:rsid w:val="4AC66987"/>
    <w:rsid w:val="4AC869D4"/>
    <w:rsid w:val="4B06472E"/>
    <w:rsid w:val="4B1058A1"/>
    <w:rsid w:val="4B134437"/>
    <w:rsid w:val="4B2C2BCC"/>
    <w:rsid w:val="4B5A4774"/>
    <w:rsid w:val="4B843311"/>
    <w:rsid w:val="4BA86E31"/>
    <w:rsid w:val="4BEB2558"/>
    <w:rsid w:val="4C0E7FAD"/>
    <w:rsid w:val="4C8C62BC"/>
    <w:rsid w:val="4C945546"/>
    <w:rsid w:val="4CF87919"/>
    <w:rsid w:val="4D3B272E"/>
    <w:rsid w:val="4D597595"/>
    <w:rsid w:val="4D635528"/>
    <w:rsid w:val="4D8B7A05"/>
    <w:rsid w:val="4D956F4D"/>
    <w:rsid w:val="4DA25128"/>
    <w:rsid w:val="4DB93871"/>
    <w:rsid w:val="4DDC0338"/>
    <w:rsid w:val="4DF45184"/>
    <w:rsid w:val="4DF81133"/>
    <w:rsid w:val="4EA053F4"/>
    <w:rsid w:val="4EF8024C"/>
    <w:rsid w:val="4F211B9E"/>
    <w:rsid w:val="4F4041C5"/>
    <w:rsid w:val="4F6D2CC1"/>
    <w:rsid w:val="4F990B12"/>
    <w:rsid w:val="4FE00707"/>
    <w:rsid w:val="5033017D"/>
    <w:rsid w:val="504840C8"/>
    <w:rsid w:val="50534B1C"/>
    <w:rsid w:val="50716D21"/>
    <w:rsid w:val="51000272"/>
    <w:rsid w:val="511A65D0"/>
    <w:rsid w:val="512B4AB0"/>
    <w:rsid w:val="515920B7"/>
    <w:rsid w:val="51653D27"/>
    <w:rsid w:val="516A46E4"/>
    <w:rsid w:val="51886796"/>
    <w:rsid w:val="51897158"/>
    <w:rsid w:val="51C62914"/>
    <w:rsid w:val="520826BB"/>
    <w:rsid w:val="5209274A"/>
    <w:rsid w:val="521E5E20"/>
    <w:rsid w:val="522F7130"/>
    <w:rsid w:val="523A6437"/>
    <w:rsid w:val="52533071"/>
    <w:rsid w:val="52790F10"/>
    <w:rsid w:val="527E1809"/>
    <w:rsid w:val="5298777D"/>
    <w:rsid w:val="52C005D5"/>
    <w:rsid w:val="53236BE0"/>
    <w:rsid w:val="534067E6"/>
    <w:rsid w:val="534070FD"/>
    <w:rsid w:val="53423DC6"/>
    <w:rsid w:val="53501508"/>
    <w:rsid w:val="53634CE3"/>
    <w:rsid w:val="53D3093B"/>
    <w:rsid w:val="53D36F61"/>
    <w:rsid w:val="53FF2298"/>
    <w:rsid w:val="541958FE"/>
    <w:rsid w:val="545F1370"/>
    <w:rsid w:val="54826849"/>
    <w:rsid w:val="54944FE2"/>
    <w:rsid w:val="54BF6CD0"/>
    <w:rsid w:val="54D55AEC"/>
    <w:rsid w:val="54DC139B"/>
    <w:rsid w:val="54EB1925"/>
    <w:rsid w:val="54F50AE1"/>
    <w:rsid w:val="553D082B"/>
    <w:rsid w:val="55440A06"/>
    <w:rsid w:val="557F6603"/>
    <w:rsid w:val="559E59EB"/>
    <w:rsid w:val="5635007E"/>
    <w:rsid w:val="56445B2E"/>
    <w:rsid w:val="565A1B35"/>
    <w:rsid w:val="5670694A"/>
    <w:rsid w:val="56806F60"/>
    <w:rsid w:val="56815C6B"/>
    <w:rsid w:val="56A46AAB"/>
    <w:rsid w:val="56D33DFD"/>
    <w:rsid w:val="570F305B"/>
    <w:rsid w:val="57106B23"/>
    <w:rsid w:val="57203EF3"/>
    <w:rsid w:val="57206C35"/>
    <w:rsid w:val="5744122F"/>
    <w:rsid w:val="57556427"/>
    <w:rsid w:val="575F51BE"/>
    <w:rsid w:val="576B660B"/>
    <w:rsid w:val="576F21EF"/>
    <w:rsid w:val="577F5CF3"/>
    <w:rsid w:val="57C02180"/>
    <w:rsid w:val="57CF2F7F"/>
    <w:rsid w:val="580B3B17"/>
    <w:rsid w:val="580E22B7"/>
    <w:rsid w:val="58134B26"/>
    <w:rsid w:val="583E70CB"/>
    <w:rsid w:val="58470F2C"/>
    <w:rsid w:val="586A29C3"/>
    <w:rsid w:val="58700D78"/>
    <w:rsid w:val="5887596C"/>
    <w:rsid w:val="58D46D5C"/>
    <w:rsid w:val="59BB6E07"/>
    <w:rsid w:val="59BF3FFC"/>
    <w:rsid w:val="59D3231F"/>
    <w:rsid w:val="5A457421"/>
    <w:rsid w:val="5A7512F2"/>
    <w:rsid w:val="5AA609A3"/>
    <w:rsid w:val="5AF170BF"/>
    <w:rsid w:val="5B252244"/>
    <w:rsid w:val="5B4B21EA"/>
    <w:rsid w:val="5B60178F"/>
    <w:rsid w:val="5B710262"/>
    <w:rsid w:val="5B782E27"/>
    <w:rsid w:val="5B7F47BB"/>
    <w:rsid w:val="5B805923"/>
    <w:rsid w:val="5BC32EB9"/>
    <w:rsid w:val="5C057C04"/>
    <w:rsid w:val="5C0E5F2F"/>
    <w:rsid w:val="5C2B2C61"/>
    <w:rsid w:val="5C874C75"/>
    <w:rsid w:val="5C8D6E66"/>
    <w:rsid w:val="5C960F3C"/>
    <w:rsid w:val="5C9D31BC"/>
    <w:rsid w:val="5CA921E6"/>
    <w:rsid w:val="5CC04F79"/>
    <w:rsid w:val="5CD07CF3"/>
    <w:rsid w:val="5CF83950"/>
    <w:rsid w:val="5D133AAA"/>
    <w:rsid w:val="5D3C4C2B"/>
    <w:rsid w:val="5D5803DB"/>
    <w:rsid w:val="5D6712EB"/>
    <w:rsid w:val="5D8E338A"/>
    <w:rsid w:val="5DA02984"/>
    <w:rsid w:val="5DAF4E05"/>
    <w:rsid w:val="5DCF4775"/>
    <w:rsid w:val="5E82309D"/>
    <w:rsid w:val="5E887131"/>
    <w:rsid w:val="5E993758"/>
    <w:rsid w:val="5EA259B4"/>
    <w:rsid w:val="5ED8193F"/>
    <w:rsid w:val="5F1D1A70"/>
    <w:rsid w:val="5F2B5E50"/>
    <w:rsid w:val="5F3329D4"/>
    <w:rsid w:val="5F3978D3"/>
    <w:rsid w:val="5F706DF2"/>
    <w:rsid w:val="5F841A5D"/>
    <w:rsid w:val="5FC11990"/>
    <w:rsid w:val="5FD10569"/>
    <w:rsid w:val="605566F8"/>
    <w:rsid w:val="605F1B84"/>
    <w:rsid w:val="609D6D41"/>
    <w:rsid w:val="60A24BAA"/>
    <w:rsid w:val="60AE2796"/>
    <w:rsid w:val="60AF58D7"/>
    <w:rsid w:val="60C13959"/>
    <w:rsid w:val="60D91FEB"/>
    <w:rsid w:val="60EE1E03"/>
    <w:rsid w:val="61037096"/>
    <w:rsid w:val="6139591D"/>
    <w:rsid w:val="61BE17D1"/>
    <w:rsid w:val="61F0368B"/>
    <w:rsid w:val="61F64415"/>
    <w:rsid w:val="623B6968"/>
    <w:rsid w:val="629C6F5E"/>
    <w:rsid w:val="62A7399A"/>
    <w:rsid w:val="62CF2EE2"/>
    <w:rsid w:val="62D11204"/>
    <w:rsid w:val="62DA3781"/>
    <w:rsid w:val="62DE5502"/>
    <w:rsid w:val="62E17C35"/>
    <w:rsid w:val="63293E7D"/>
    <w:rsid w:val="63651E3C"/>
    <w:rsid w:val="638C228E"/>
    <w:rsid w:val="64201E28"/>
    <w:rsid w:val="64254ABC"/>
    <w:rsid w:val="643E6B35"/>
    <w:rsid w:val="644D305A"/>
    <w:rsid w:val="64812872"/>
    <w:rsid w:val="649432A1"/>
    <w:rsid w:val="649A4F80"/>
    <w:rsid w:val="649B2348"/>
    <w:rsid w:val="64A83840"/>
    <w:rsid w:val="64B77922"/>
    <w:rsid w:val="64DC7D1E"/>
    <w:rsid w:val="651132C5"/>
    <w:rsid w:val="65585448"/>
    <w:rsid w:val="657103FD"/>
    <w:rsid w:val="6594612F"/>
    <w:rsid w:val="662F31FF"/>
    <w:rsid w:val="66471A9D"/>
    <w:rsid w:val="66471FFF"/>
    <w:rsid w:val="664E33E7"/>
    <w:rsid w:val="66993768"/>
    <w:rsid w:val="66AB576D"/>
    <w:rsid w:val="66BD6BD1"/>
    <w:rsid w:val="67105F47"/>
    <w:rsid w:val="671C6319"/>
    <w:rsid w:val="675111A0"/>
    <w:rsid w:val="676006C6"/>
    <w:rsid w:val="67B3488E"/>
    <w:rsid w:val="67D817F0"/>
    <w:rsid w:val="68024238"/>
    <w:rsid w:val="682E610C"/>
    <w:rsid w:val="68C6521B"/>
    <w:rsid w:val="68EB653A"/>
    <w:rsid w:val="693B75D6"/>
    <w:rsid w:val="697B5245"/>
    <w:rsid w:val="697D0183"/>
    <w:rsid w:val="69D13034"/>
    <w:rsid w:val="69DB649E"/>
    <w:rsid w:val="69E95D17"/>
    <w:rsid w:val="69ED7EB8"/>
    <w:rsid w:val="69F27EA7"/>
    <w:rsid w:val="6A3074CA"/>
    <w:rsid w:val="6A487598"/>
    <w:rsid w:val="6A5979CC"/>
    <w:rsid w:val="6A5B4875"/>
    <w:rsid w:val="6A8A6853"/>
    <w:rsid w:val="6AA84830"/>
    <w:rsid w:val="6ABB11FA"/>
    <w:rsid w:val="6AE1742E"/>
    <w:rsid w:val="6B0522E8"/>
    <w:rsid w:val="6B1C014E"/>
    <w:rsid w:val="6B5C78C5"/>
    <w:rsid w:val="6BD30834"/>
    <w:rsid w:val="6BF42FF4"/>
    <w:rsid w:val="6BFA1BC7"/>
    <w:rsid w:val="6C2B239E"/>
    <w:rsid w:val="6C343DAE"/>
    <w:rsid w:val="6C37544F"/>
    <w:rsid w:val="6C4003C0"/>
    <w:rsid w:val="6C626AB9"/>
    <w:rsid w:val="6CA30F67"/>
    <w:rsid w:val="6CBE55C0"/>
    <w:rsid w:val="6D3957BA"/>
    <w:rsid w:val="6D3E33E7"/>
    <w:rsid w:val="6D434C92"/>
    <w:rsid w:val="6D7438E0"/>
    <w:rsid w:val="6D9D4837"/>
    <w:rsid w:val="6DCE21E3"/>
    <w:rsid w:val="6DDA2484"/>
    <w:rsid w:val="6DE452B3"/>
    <w:rsid w:val="6E331C2D"/>
    <w:rsid w:val="6E5D13A7"/>
    <w:rsid w:val="6E721472"/>
    <w:rsid w:val="6E7D0C2A"/>
    <w:rsid w:val="6EA81D85"/>
    <w:rsid w:val="6EE130F0"/>
    <w:rsid w:val="6EF65D22"/>
    <w:rsid w:val="6F1B2C35"/>
    <w:rsid w:val="6F1C7176"/>
    <w:rsid w:val="6F6969E4"/>
    <w:rsid w:val="6F7D293B"/>
    <w:rsid w:val="6FA519F3"/>
    <w:rsid w:val="6FD26040"/>
    <w:rsid w:val="6FDE74F0"/>
    <w:rsid w:val="700A737E"/>
    <w:rsid w:val="700C4AE7"/>
    <w:rsid w:val="701A3451"/>
    <w:rsid w:val="702A1952"/>
    <w:rsid w:val="70574058"/>
    <w:rsid w:val="706C1246"/>
    <w:rsid w:val="707C1213"/>
    <w:rsid w:val="707E2E15"/>
    <w:rsid w:val="70E6235A"/>
    <w:rsid w:val="70F17556"/>
    <w:rsid w:val="714F7177"/>
    <w:rsid w:val="715A1FD4"/>
    <w:rsid w:val="71617F41"/>
    <w:rsid w:val="71B71910"/>
    <w:rsid w:val="71E15A0B"/>
    <w:rsid w:val="71ED3A19"/>
    <w:rsid w:val="72474CC9"/>
    <w:rsid w:val="726107A9"/>
    <w:rsid w:val="72916FDB"/>
    <w:rsid w:val="729669B6"/>
    <w:rsid w:val="72A165E9"/>
    <w:rsid w:val="72EF6959"/>
    <w:rsid w:val="72FC2557"/>
    <w:rsid w:val="73037034"/>
    <w:rsid w:val="73127EB7"/>
    <w:rsid w:val="731C122C"/>
    <w:rsid w:val="733847F0"/>
    <w:rsid w:val="73B448E4"/>
    <w:rsid w:val="73BA399B"/>
    <w:rsid w:val="73CB711C"/>
    <w:rsid w:val="73E17553"/>
    <w:rsid w:val="73EB73E1"/>
    <w:rsid w:val="742C565B"/>
    <w:rsid w:val="7437062F"/>
    <w:rsid w:val="74595848"/>
    <w:rsid w:val="74761245"/>
    <w:rsid w:val="7479118D"/>
    <w:rsid w:val="747E5FA2"/>
    <w:rsid w:val="74EB0F60"/>
    <w:rsid w:val="753C6D99"/>
    <w:rsid w:val="75F25DEE"/>
    <w:rsid w:val="761056E3"/>
    <w:rsid w:val="766113BD"/>
    <w:rsid w:val="76882E89"/>
    <w:rsid w:val="76993DE9"/>
    <w:rsid w:val="769A41CB"/>
    <w:rsid w:val="76B2745A"/>
    <w:rsid w:val="76C84097"/>
    <w:rsid w:val="77041691"/>
    <w:rsid w:val="7707592D"/>
    <w:rsid w:val="77143D35"/>
    <w:rsid w:val="77C05436"/>
    <w:rsid w:val="77D70882"/>
    <w:rsid w:val="77FA742E"/>
    <w:rsid w:val="784132EA"/>
    <w:rsid w:val="785263F3"/>
    <w:rsid w:val="785F2A74"/>
    <w:rsid w:val="789A234C"/>
    <w:rsid w:val="78E100CC"/>
    <w:rsid w:val="78FF22AA"/>
    <w:rsid w:val="792C7F2E"/>
    <w:rsid w:val="795D73CF"/>
    <w:rsid w:val="79650E85"/>
    <w:rsid w:val="79754A15"/>
    <w:rsid w:val="79C730EA"/>
    <w:rsid w:val="79DF7B7C"/>
    <w:rsid w:val="7A006F44"/>
    <w:rsid w:val="7A381F06"/>
    <w:rsid w:val="7A693845"/>
    <w:rsid w:val="7AA607B3"/>
    <w:rsid w:val="7ADE3D36"/>
    <w:rsid w:val="7AF95B84"/>
    <w:rsid w:val="7B3509E5"/>
    <w:rsid w:val="7B474C21"/>
    <w:rsid w:val="7B550529"/>
    <w:rsid w:val="7B701503"/>
    <w:rsid w:val="7B807FC3"/>
    <w:rsid w:val="7B827C2E"/>
    <w:rsid w:val="7B901460"/>
    <w:rsid w:val="7B950FC0"/>
    <w:rsid w:val="7BF1536A"/>
    <w:rsid w:val="7C116E39"/>
    <w:rsid w:val="7C266205"/>
    <w:rsid w:val="7C421FAA"/>
    <w:rsid w:val="7C435975"/>
    <w:rsid w:val="7C4D61C8"/>
    <w:rsid w:val="7CB8516A"/>
    <w:rsid w:val="7D3A37CC"/>
    <w:rsid w:val="7DE54E98"/>
    <w:rsid w:val="7E2F14F6"/>
    <w:rsid w:val="7E673705"/>
    <w:rsid w:val="7E726822"/>
    <w:rsid w:val="7E8D72EF"/>
    <w:rsid w:val="7E8F7E9A"/>
    <w:rsid w:val="7EA50156"/>
    <w:rsid w:val="7EB47A57"/>
    <w:rsid w:val="7ECF2FBC"/>
    <w:rsid w:val="7EEF3B53"/>
    <w:rsid w:val="7F1E55B1"/>
    <w:rsid w:val="7F297095"/>
    <w:rsid w:val="7F2E0513"/>
    <w:rsid w:val="7F3B1EF4"/>
    <w:rsid w:val="7F4D74EA"/>
    <w:rsid w:val="7F560CF3"/>
    <w:rsid w:val="7FB979F5"/>
    <w:rsid w:val="7FC77332"/>
    <w:rsid w:val="7FE51DD5"/>
    <w:rsid w:val="7FEC658F"/>
    <w:rsid w:val="7FFA2BF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5"/>
    <w:qFormat/>
    <w:uiPriority w:val="99"/>
    <w:pPr>
      <w:pBdr>
        <w:bottom w:val="single" w:color="auto" w:sz="6" w:space="1"/>
      </w:pBdr>
      <w:tabs>
        <w:tab w:val="center" w:pos="4153"/>
        <w:tab w:val="right" w:pos="8306"/>
      </w:tabs>
      <w:snapToGrid w:val="0"/>
      <w:jc w:val="center"/>
    </w:pPr>
    <w:rPr>
      <w:kern w:val="0"/>
      <w:sz w:val="18"/>
      <w:szCs w:val="18"/>
    </w:rPr>
  </w:style>
  <w:style w:type="paragraph" w:styleId="3">
    <w:name w:val="Body Text"/>
    <w:basedOn w:val="1"/>
    <w:next w:val="1"/>
    <w:link w:val="13"/>
    <w:qFormat/>
    <w:uiPriority w:val="99"/>
    <w:pPr>
      <w:spacing w:after="120"/>
    </w:pPr>
    <w:rPr>
      <w:rFonts w:ascii="Calibri" w:hAnsi="Calibri"/>
      <w:szCs w:val="22"/>
    </w:rPr>
  </w:style>
  <w:style w:type="paragraph" w:styleId="4">
    <w:name w:val="footer"/>
    <w:basedOn w:val="1"/>
    <w:link w:val="14"/>
    <w:qFormat/>
    <w:uiPriority w:val="99"/>
    <w:pPr>
      <w:tabs>
        <w:tab w:val="center" w:pos="4153"/>
        <w:tab w:val="right" w:pos="8306"/>
      </w:tabs>
      <w:snapToGrid w:val="0"/>
      <w:jc w:val="left"/>
    </w:pPr>
    <w:rPr>
      <w:kern w:val="0"/>
      <w:sz w:val="18"/>
      <w:szCs w:val="18"/>
    </w:rPr>
  </w:style>
  <w:style w:type="paragraph" w:styleId="5">
    <w:name w:val="toc 2"/>
    <w:basedOn w:val="1"/>
    <w:next w:val="1"/>
    <w:qFormat/>
    <w:uiPriority w:val="99"/>
    <w:pPr>
      <w:ind w:left="640" w:leftChars="200"/>
    </w:pPr>
    <w:rPr>
      <w:rFonts w:eastAsia="楷体_GB2312"/>
      <w:szCs w:val="32"/>
    </w:rPr>
  </w:style>
  <w:style w:type="paragraph" w:styleId="6">
    <w:name w:val="Normal (Web)"/>
    <w:basedOn w:val="1"/>
    <w:qFormat/>
    <w:uiPriority w:val="99"/>
    <w:pPr>
      <w:spacing w:before="100" w:beforeAutospacing="1" w:after="100" w:afterAutospacing="1"/>
      <w:jc w:val="left"/>
    </w:pPr>
    <w:rPr>
      <w:rFonts w:ascii="Calibri" w:hAnsi="Calibri"/>
      <w:kern w:val="0"/>
      <w:sz w:val="24"/>
    </w:rPr>
  </w:style>
  <w:style w:type="paragraph" w:styleId="7">
    <w:name w:val="Title"/>
    <w:basedOn w:val="1"/>
    <w:next w:val="1"/>
    <w:link w:val="12"/>
    <w:qFormat/>
    <w:uiPriority w:val="99"/>
    <w:pPr>
      <w:spacing w:before="240" w:after="60"/>
      <w:jc w:val="center"/>
      <w:outlineLvl w:val="0"/>
    </w:pPr>
    <w:rPr>
      <w:rFonts w:ascii="Cambria" w:hAnsi="Cambria"/>
      <w:b/>
      <w:bCs/>
      <w:kern w:val="0"/>
      <w:szCs w:val="32"/>
    </w:rPr>
  </w:style>
  <w:style w:type="character" w:styleId="10">
    <w:name w:val="Strong"/>
    <w:basedOn w:val="9"/>
    <w:qFormat/>
    <w:uiPriority w:val="99"/>
    <w:rPr>
      <w:rFonts w:cs="Times New Roman"/>
      <w:b/>
    </w:rPr>
  </w:style>
  <w:style w:type="character" w:styleId="11">
    <w:name w:val="page number"/>
    <w:basedOn w:val="9"/>
    <w:qFormat/>
    <w:uiPriority w:val="99"/>
    <w:rPr>
      <w:rFonts w:cs="Times New Roman"/>
    </w:rPr>
  </w:style>
  <w:style w:type="character" w:customStyle="1" w:styleId="12">
    <w:name w:val="Title Char"/>
    <w:basedOn w:val="9"/>
    <w:link w:val="7"/>
    <w:qFormat/>
    <w:locked/>
    <w:uiPriority w:val="99"/>
    <w:rPr>
      <w:rFonts w:ascii="Cambria" w:hAnsi="Cambria" w:cs="Times New Roman"/>
      <w:b/>
      <w:bCs/>
      <w:sz w:val="32"/>
      <w:szCs w:val="32"/>
    </w:rPr>
  </w:style>
  <w:style w:type="character" w:customStyle="1" w:styleId="13">
    <w:name w:val="Body Text Char"/>
    <w:basedOn w:val="9"/>
    <w:link w:val="3"/>
    <w:semiHidden/>
    <w:qFormat/>
    <w:locked/>
    <w:uiPriority w:val="99"/>
    <w:rPr>
      <w:rFonts w:cs="Times New Roman"/>
      <w:sz w:val="24"/>
      <w:szCs w:val="24"/>
    </w:rPr>
  </w:style>
  <w:style w:type="character" w:customStyle="1" w:styleId="14">
    <w:name w:val="Footer Char"/>
    <w:basedOn w:val="9"/>
    <w:link w:val="4"/>
    <w:semiHidden/>
    <w:qFormat/>
    <w:locked/>
    <w:uiPriority w:val="99"/>
    <w:rPr>
      <w:rFonts w:cs="Times New Roman"/>
      <w:sz w:val="18"/>
      <w:szCs w:val="18"/>
    </w:rPr>
  </w:style>
  <w:style w:type="character" w:customStyle="1" w:styleId="15">
    <w:name w:val="Header Char"/>
    <w:basedOn w:val="9"/>
    <w:link w:val="2"/>
    <w:semiHidden/>
    <w:qFormat/>
    <w:locked/>
    <w:uiPriority w:val="99"/>
    <w:rPr>
      <w:rFonts w:cs="Times New Roman"/>
      <w:sz w:val="18"/>
      <w:szCs w:val="18"/>
    </w:rPr>
  </w:style>
  <w:style w:type="paragraph" w:customStyle="1" w:styleId="16">
    <w:name w:val="NormalIndent"/>
    <w:basedOn w:val="1"/>
    <w:qFormat/>
    <w:uiPriority w:val="99"/>
    <w:pPr>
      <w:ind w:firstLine="420" w:firstLineChars="200"/>
      <w:textAlignment w:val="baseline"/>
    </w:pPr>
  </w:style>
  <w:style w:type="character" w:customStyle="1" w:styleId="17">
    <w:name w:val="font31"/>
    <w:basedOn w:val="9"/>
    <w:qFormat/>
    <w:uiPriority w:val="99"/>
    <w:rPr>
      <w:rFonts w:ascii="宋体" w:hAnsi="宋体" w:eastAsia="宋体" w:cs="宋体"/>
      <w:color w:val="000000"/>
      <w:sz w:val="20"/>
      <w:szCs w:val="20"/>
      <w:u w:val="none"/>
    </w:rPr>
  </w:style>
  <w:style w:type="character" w:customStyle="1" w:styleId="18">
    <w:name w:val="font41"/>
    <w:basedOn w:val="9"/>
    <w:qFormat/>
    <w:uiPriority w:val="99"/>
    <w:rPr>
      <w:rFonts w:ascii="宋体" w:hAnsi="宋体" w:eastAsia="宋体" w:cs="宋体"/>
      <w:b/>
      <w:bCs/>
      <w:color w:val="000000"/>
      <w:sz w:val="20"/>
      <w:szCs w:val="20"/>
      <w:u w:val="none"/>
    </w:rPr>
  </w:style>
  <w:style w:type="character" w:customStyle="1" w:styleId="19">
    <w:name w:val="font01"/>
    <w:basedOn w:val="9"/>
    <w:qFormat/>
    <w:uiPriority w:val="99"/>
    <w:rPr>
      <w:rFonts w:ascii="宋体" w:hAnsi="宋体" w:eastAsia="宋体" w:cs="宋体"/>
      <w:color w:val="000000"/>
      <w:sz w:val="24"/>
      <w:szCs w:val="24"/>
      <w:u w:val="none"/>
    </w:rPr>
  </w:style>
  <w:style w:type="character" w:customStyle="1" w:styleId="20">
    <w:name w:val="font11"/>
    <w:basedOn w:val="9"/>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65</Pages>
  <Words>6734</Words>
  <Lines>0</Lines>
  <Paragraphs>0</Paragraphs>
  <TotalTime>214</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2024-01-18T08:20:00Z</dcterms:created>
  <dc:creator>Administrator</dc:creator>
  <cp:lastModifiedBy>Administrator</cp:lastModifiedBy>
  <cp:lastPrinted>2025-01-11T09:07:00Z</cp:lastPrinted>
  <dcterms:modified xsi:type="dcterms:W3CDTF">2025-01-11T10:44:57Z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022B05243D9C45F3936A6E1C793F5E5D_13</vt:lpwstr>
  </property>
</Properties>
</file>