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黑体" w:hAnsi="黑体" w:eastAsia="黑体" w:cs="黑体"/>
          <w:b/>
          <w:sz w:val="44"/>
          <w:szCs w:val="44"/>
        </w:rPr>
      </w:pPr>
      <w:r>
        <w:rPr>
          <w:rFonts w:hint="eastAsia" w:ascii="黑体" w:hAnsi="黑体" w:eastAsia="黑体" w:cs="黑体"/>
          <w:b/>
          <w:sz w:val="44"/>
          <w:szCs w:val="44"/>
        </w:rPr>
        <w:t>丰宁县科学技术局2021年部门预算信息公开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按照《中华人民共和国预算法》、《地方预决算公开操作规程》和《河北省省级预算公开办法》规定，现将丰宁县财政局2021年部门预算公开如下：</w:t>
      </w: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ind w:firstLine="643" w:firstLineChars="200"/>
        <w:rPr>
          <w:rFonts w:eastAsia="方正仿宋_GBK"/>
          <w:sz w:val="28"/>
        </w:rPr>
      </w:pPr>
      <w:r>
        <w:rPr>
          <w:rFonts w:hint="eastAsia" w:ascii="黑体" w:hAnsi="黑体" w:eastAsia="黑体" w:cs="黑体"/>
          <w:b/>
          <w:sz w:val="32"/>
          <w:szCs w:val="32"/>
        </w:rPr>
        <w:t>（一）部门职责：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贯彻落实创新驱动发展战略方针，牵头拟订全县科技创新发展政策。推进区域科技创新体系建设，指导区域创新发展、科技资源合理布局和协同创新能力建设。统筹推进全县创新体系建设和科技体制改革，会同有关部门健全技术创新激励机制，优化科研体系建设，指导科研机构改革发展，推动企业科技创新能力建设，承担推进科技军民融合发展相关工作，推进县域重大科技决策咨询制度建设，拟订科学普及和科学传播规划、政策。</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牵头建立统一的县级科技管理平台和科研项目资金调协、评估、监管机制。会同有关部门提出优化配置科技资源的政策措施建议，推动多元化科技投入体系建设，协调管理县级科技计划（专项、基金等）并监督实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3、拟订重大科技创新基地建设规划并监督实施，推动科研保障、科技平台建设和科技资源开放共享。组织协调基础研究和应用基础研究工作。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4、编制县重大科技项目规划并监督实施，统筹组织经济社会发展关键共性技术研发和创新，牵头组织重大技术公关和成果应用示范。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组织拟订高新技术发展及产业化、科技促进农业农村和社会发展的规划、政策和措施。组织开展重要领域技术发展需求分析，提出重大任务并监督实施。指导推进科技型企业发展，指导高产技术产业开发区、农业科技园区等园区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6、牵头技术转移体系建设，拟订科技成果转移转化和促进产学研结合的相关政策措施并监督实施。指导科技服务业、技术市场和科技中介组织发展。</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7、负责科技监督评价体系建设和相关科技评估管理，推进科技评价机制改革和科研诚信建设。组织实施创新调查和科技报告制度，指导全县科技保密工作。</w:t>
      </w:r>
    </w:p>
    <w:p>
      <w:pPr>
        <w:spacing w:line="50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8、拟订科技合作与创新能力开放合作的规划、政策和措施。负责引进县外和外国智力工作。拟订县重点引进县域外和外国专家总体规划、计划并组织实施。</w:t>
      </w:r>
    </w:p>
    <w:p>
      <w:pPr>
        <w:numPr>
          <w:ilvl w:val="0"/>
          <w:numId w:val="1"/>
        </w:numPr>
        <w:spacing w:line="600" w:lineRule="exact"/>
        <w:ind w:firstLine="643" w:firstLineChars="200"/>
        <w:jc w:val="left"/>
        <w:outlineLvl w:val="0"/>
        <w:rPr>
          <w:rFonts w:ascii="黑体" w:hAnsi="黑体" w:eastAsia="黑体" w:cs="黑体"/>
          <w:b/>
          <w:sz w:val="32"/>
          <w:szCs w:val="32"/>
        </w:rPr>
      </w:pPr>
      <w:r>
        <w:rPr>
          <w:rFonts w:hint="eastAsia" w:ascii="黑体" w:hAnsi="黑体" w:eastAsia="黑体" w:cs="黑体"/>
          <w:b/>
          <w:sz w:val="32"/>
          <w:szCs w:val="32"/>
        </w:rPr>
        <w:t>机构设置：</w:t>
      </w:r>
    </w:p>
    <w:p>
      <w:pPr>
        <w:spacing w:line="600" w:lineRule="exact"/>
        <w:ind w:firstLine="640" w:firstLineChars="200"/>
        <w:jc w:val="left"/>
        <w:outlineLvl w:val="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我单位部内设3个机构：分别是科技管理股、科技项目股、科技合作交流股。</w:t>
      </w:r>
    </w:p>
    <w:p>
      <w:pPr>
        <w:jc w:val="center"/>
        <w:outlineLvl w:val="0"/>
        <w:rPr>
          <w:rFonts w:ascii="黑体" w:hAnsi="黑体" w:eastAsia="黑体" w:cs="黑体"/>
          <w:b/>
          <w:bCs/>
          <w:sz w:val="32"/>
          <w:szCs w:val="24"/>
        </w:rPr>
      </w:pPr>
      <w:r>
        <w:rPr>
          <w:rFonts w:hint="eastAsia" w:ascii="黑体" w:hAnsi="黑体" w:eastAsia="黑体" w:cs="黑体"/>
          <w:b/>
          <w:bCs/>
          <w:sz w:val="32"/>
          <w:szCs w:val="24"/>
        </w:rPr>
        <w:t>部门机构设置情况</w:t>
      </w:r>
    </w:p>
    <w:tbl>
      <w:tblPr>
        <w:tblStyle w:val="8"/>
        <w:tblW w:w="9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2"/>
        <w:gridCol w:w="1758"/>
        <w:gridCol w:w="1586"/>
        <w:gridCol w:w="3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3252" w:type="dxa"/>
            <w:vMerge w:val="restart"/>
            <w:shd w:val="clear" w:color="auto" w:fill="auto"/>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单位名称</w:t>
            </w:r>
          </w:p>
        </w:tc>
        <w:tc>
          <w:tcPr>
            <w:tcW w:w="1758" w:type="dxa"/>
            <w:vMerge w:val="restart"/>
            <w:shd w:val="clear" w:color="auto" w:fill="auto"/>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单位性质</w:t>
            </w:r>
          </w:p>
        </w:tc>
        <w:tc>
          <w:tcPr>
            <w:tcW w:w="1586" w:type="dxa"/>
            <w:vMerge w:val="restart"/>
            <w:shd w:val="clear" w:color="auto" w:fill="auto"/>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单位规格</w:t>
            </w:r>
          </w:p>
        </w:tc>
        <w:tc>
          <w:tcPr>
            <w:tcW w:w="3296" w:type="dxa"/>
            <w:vMerge w:val="restart"/>
            <w:shd w:val="clear" w:color="auto" w:fill="auto"/>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252" w:type="dxa"/>
            <w:vMerge w:val="continue"/>
            <w:shd w:val="clear" w:color="auto" w:fill="auto"/>
            <w:vAlign w:val="center"/>
          </w:tcPr>
          <w:p>
            <w:pPr>
              <w:autoSpaceDE w:val="0"/>
              <w:autoSpaceDN w:val="0"/>
              <w:adjustRightInd w:val="0"/>
              <w:jc w:val="center"/>
              <w:rPr>
                <w:rFonts w:ascii="仿宋" w:hAnsi="仿宋" w:eastAsia="仿宋" w:cs="仿宋"/>
                <w:b/>
                <w:sz w:val="24"/>
                <w:szCs w:val="24"/>
              </w:rPr>
            </w:pPr>
          </w:p>
        </w:tc>
        <w:tc>
          <w:tcPr>
            <w:tcW w:w="1758" w:type="dxa"/>
            <w:vMerge w:val="continue"/>
            <w:shd w:val="clear" w:color="auto" w:fill="auto"/>
            <w:vAlign w:val="center"/>
          </w:tcPr>
          <w:p>
            <w:pPr>
              <w:autoSpaceDE w:val="0"/>
              <w:autoSpaceDN w:val="0"/>
              <w:adjustRightInd w:val="0"/>
              <w:jc w:val="center"/>
              <w:rPr>
                <w:rFonts w:ascii="仿宋" w:hAnsi="仿宋" w:eastAsia="仿宋" w:cs="仿宋"/>
                <w:b/>
                <w:sz w:val="24"/>
                <w:szCs w:val="24"/>
              </w:rPr>
            </w:pPr>
          </w:p>
        </w:tc>
        <w:tc>
          <w:tcPr>
            <w:tcW w:w="1586" w:type="dxa"/>
            <w:vMerge w:val="continue"/>
            <w:shd w:val="clear" w:color="auto" w:fill="auto"/>
            <w:vAlign w:val="center"/>
          </w:tcPr>
          <w:p>
            <w:pPr>
              <w:autoSpaceDE w:val="0"/>
              <w:autoSpaceDN w:val="0"/>
              <w:adjustRightInd w:val="0"/>
              <w:jc w:val="center"/>
              <w:rPr>
                <w:rFonts w:ascii="仿宋" w:hAnsi="仿宋" w:eastAsia="仿宋" w:cs="仿宋"/>
                <w:b/>
                <w:sz w:val="24"/>
                <w:szCs w:val="24"/>
              </w:rPr>
            </w:pPr>
          </w:p>
        </w:tc>
        <w:tc>
          <w:tcPr>
            <w:tcW w:w="3296" w:type="dxa"/>
            <w:vMerge w:val="continue"/>
            <w:shd w:val="clear" w:color="auto" w:fill="auto"/>
            <w:vAlign w:val="center"/>
          </w:tcPr>
          <w:p>
            <w:pPr>
              <w:autoSpaceDE w:val="0"/>
              <w:autoSpaceDN w:val="0"/>
              <w:adjustRightInd w:val="0"/>
              <w:jc w:val="center"/>
              <w:rPr>
                <w:rFonts w:ascii="仿宋" w:hAnsi="仿宋" w:eastAsia="仿宋" w:cs="仿宋"/>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科技管理股</w:t>
            </w:r>
          </w:p>
        </w:tc>
        <w:tc>
          <w:tcPr>
            <w:tcW w:w="1758"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行政</w:t>
            </w:r>
          </w:p>
        </w:tc>
        <w:tc>
          <w:tcPr>
            <w:tcW w:w="158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股级</w:t>
            </w:r>
          </w:p>
        </w:tc>
        <w:tc>
          <w:tcPr>
            <w:tcW w:w="329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科技项目股</w:t>
            </w:r>
          </w:p>
        </w:tc>
        <w:tc>
          <w:tcPr>
            <w:tcW w:w="1758"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行政</w:t>
            </w:r>
          </w:p>
        </w:tc>
        <w:tc>
          <w:tcPr>
            <w:tcW w:w="158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股级</w:t>
            </w:r>
          </w:p>
        </w:tc>
        <w:tc>
          <w:tcPr>
            <w:tcW w:w="329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52"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科技合作交流股</w:t>
            </w:r>
          </w:p>
        </w:tc>
        <w:tc>
          <w:tcPr>
            <w:tcW w:w="1758"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行政</w:t>
            </w:r>
          </w:p>
        </w:tc>
        <w:tc>
          <w:tcPr>
            <w:tcW w:w="158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股级</w:t>
            </w:r>
          </w:p>
        </w:tc>
        <w:tc>
          <w:tcPr>
            <w:tcW w:w="3296" w:type="dxa"/>
            <w:shd w:val="clear" w:color="auto" w:fill="auto"/>
            <w:vAlign w:val="center"/>
          </w:tcPr>
          <w:p>
            <w:pPr>
              <w:autoSpaceDE w:val="0"/>
              <w:autoSpaceDN w:val="0"/>
              <w:adjustRightInd w:val="0"/>
              <w:jc w:val="center"/>
              <w:rPr>
                <w:rFonts w:ascii="仿宋" w:hAnsi="仿宋" w:eastAsia="仿宋" w:cs="仿宋"/>
                <w:bCs/>
                <w:sz w:val="24"/>
                <w:szCs w:val="24"/>
              </w:rPr>
            </w:pPr>
            <w:r>
              <w:rPr>
                <w:rFonts w:hint="eastAsia" w:ascii="仿宋" w:hAnsi="仿宋" w:eastAsia="仿宋" w:cs="仿宋"/>
                <w:bCs/>
                <w:sz w:val="24"/>
                <w:szCs w:val="24"/>
              </w:rPr>
              <w:t>财政性资金基本保证</w:t>
            </w:r>
          </w:p>
        </w:tc>
      </w:tr>
    </w:tbl>
    <w:p>
      <w:pPr>
        <w:jc w:val="center"/>
        <w:outlineLvl w:val="0"/>
        <w:rPr>
          <w:rFonts w:ascii="黑体" w:hAnsi="黑体" w:eastAsia="黑体" w:cs="黑体"/>
          <w:b/>
          <w:bCs/>
          <w:sz w:val="32"/>
          <w:szCs w:val="24"/>
        </w:rPr>
      </w:pPr>
    </w:p>
    <w:p>
      <w:pPr>
        <w:snapToGrid w:val="0"/>
        <w:spacing w:line="360" w:lineRule="auto"/>
        <w:ind w:left="720"/>
        <w:jc w:val="center"/>
        <w:outlineLvl w:val="0"/>
        <w:rPr>
          <w:rFonts w:ascii="仿宋_GB2312"/>
          <w:b/>
        </w:rPr>
      </w:pPr>
    </w:p>
    <w:p>
      <w:pPr>
        <w:snapToGrid w:val="0"/>
        <w:spacing w:line="360" w:lineRule="auto"/>
        <w:ind w:left="720"/>
        <w:jc w:val="center"/>
        <w:outlineLvl w:val="0"/>
        <w:rPr>
          <w:rFonts w:ascii="黑体" w:hAnsi="黑体" w:eastAsia="黑体" w:cs="黑体"/>
          <w:b/>
          <w:bCs/>
          <w:sz w:val="32"/>
          <w:szCs w:val="24"/>
        </w:rPr>
      </w:pPr>
      <w:r>
        <w:rPr>
          <w:rFonts w:hint="eastAsia" w:ascii="黑体" w:hAnsi="黑体" w:eastAsia="黑体" w:cs="黑体"/>
          <w:b/>
          <w:bCs/>
          <w:sz w:val="32"/>
          <w:szCs w:val="24"/>
        </w:rPr>
        <w:t>部门预算单位人员情况</w:t>
      </w:r>
    </w:p>
    <w:tbl>
      <w:tblPr>
        <w:tblStyle w:val="8"/>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单  位  名  称</w:t>
            </w:r>
          </w:p>
        </w:tc>
        <w:tc>
          <w:tcPr>
            <w:tcW w:w="2285" w:type="dxa"/>
            <w:gridSpan w:val="2"/>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编 制 人 数（人）</w:t>
            </w:r>
          </w:p>
        </w:tc>
        <w:tc>
          <w:tcPr>
            <w:tcW w:w="2499" w:type="dxa"/>
            <w:gridSpan w:val="3"/>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在　职 人 数（人）</w:t>
            </w:r>
          </w:p>
        </w:tc>
        <w:tc>
          <w:tcPr>
            <w:tcW w:w="1371" w:type="dxa"/>
            <w:vMerge w:val="restart"/>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非在职人数（人）</w:t>
            </w:r>
          </w:p>
        </w:tc>
        <w:tc>
          <w:tcPr>
            <w:tcW w:w="3443" w:type="dxa"/>
            <w:gridSpan w:val="3"/>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noWrap/>
            <w:vAlign w:val="center"/>
          </w:tcPr>
          <w:p>
            <w:pPr>
              <w:autoSpaceDE w:val="0"/>
              <w:autoSpaceDN w:val="0"/>
              <w:adjustRightInd w:val="0"/>
              <w:ind w:firstLine="675"/>
              <w:jc w:val="center"/>
              <w:rPr>
                <w:rFonts w:ascii="仿宋" w:hAnsi="仿宋" w:eastAsia="仿宋" w:cs="仿宋"/>
                <w:b/>
                <w:sz w:val="24"/>
                <w:szCs w:val="24"/>
              </w:rPr>
            </w:pPr>
          </w:p>
        </w:tc>
        <w:tc>
          <w:tcPr>
            <w:tcW w:w="1143"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行 政</w:t>
            </w:r>
          </w:p>
        </w:tc>
        <w:tc>
          <w:tcPr>
            <w:tcW w:w="1142"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事业</w:t>
            </w:r>
          </w:p>
        </w:tc>
        <w:tc>
          <w:tcPr>
            <w:tcW w:w="1127" w:type="dxa"/>
            <w:gridSpan w:val="2"/>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行政</w:t>
            </w:r>
          </w:p>
        </w:tc>
        <w:tc>
          <w:tcPr>
            <w:tcW w:w="1372"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事 业</w:t>
            </w:r>
          </w:p>
        </w:tc>
        <w:tc>
          <w:tcPr>
            <w:tcW w:w="1371" w:type="dxa"/>
            <w:vMerge w:val="continue"/>
            <w:noWrap/>
            <w:vAlign w:val="center"/>
          </w:tcPr>
          <w:p>
            <w:pPr>
              <w:autoSpaceDE w:val="0"/>
              <w:autoSpaceDN w:val="0"/>
              <w:adjustRightInd w:val="0"/>
              <w:jc w:val="center"/>
              <w:rPr>
                <w:rFonts w:ascii="仿宋" w:hAnsi="仿宋" w:eastAsia="仿宋" w:cs="仿宋"/>
                <w:b/>
                <w:sz w:val="24"/>
                <w:szCs w:val="24"/>
              </w:rPr>
            </w:pPr>
          </w:p>
        </w:tc>
        <w:tc>
          <w:tcPr>
            <w:tcW w:w="1143"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离休</w:t>
            </w:r>
          </w:p>
        </w:tc>
        <w:tc>
          <w:tcPr>
            <w:tcW w:w="1157"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退休</w:t>
            </w:r>
          </w:p>
        </w:tc>
        <w:tc>
          <w:tcPr>
            <w:tcW w:w="1143" w:type="dxa"/>
            <w:noWrap/>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科技局</w:t>
            </w:r>
          </w:p>
        </w:tc>
        <w:tc>
          <w:tcPr>
            <w:tcW w:w="1143" w:type="dxa"/>
            <w:tcBorders>
              <w:bottom w:val="nil"/>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5</w:t>
            </w:r>
          </w:p>
        </w:tc>
        <w:tc>
          <w:tcPr>
            <w:tcW w:w="1156" w:type="dxa"/>
            <w:gridSpan w:val="2"/>
            <w:tcBorders>
              <w:top w:val="nil"/>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1113" w:type="dxa"/>
            <w:tcBorders>
              <w:top w:val="nil"/>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5</w:t>
            </w:r>
          </w:p>
        </w:tc>
        <w:tc>
          <w:tcPr>
            <w:tcW w:w="1372" w:type="dxa"/>
            <w:tcBorders>
              <w:top w:val="nil"/>
              <w:bottom w:val="single" w:color="auto" w:sz="4" w:space="0"/>
            </w:tcBorders>
            <w:noWrap/>
            <w:vAlign w:val="center"/>
          </w:tcPr>
          <w:p>
            <w:pPr>
              <w:widowControl/>
              <w:jc w:val="center"/>
              <w:rPr>
                <w:rFonts w:ascii="仿宋" w:hAnsi="仿宋" w:eastAsia="仿宋" w:cs="仿宋"/>
                <w:sz w:val="24"/>
                <w:szCs w:val="24"/>
              </w:rPr>
            </w:pPr>
          </w:p>
        </w:tc>
        <w:tc>
          <w:tcPr>
            <w:tcW w:w="1371" w:type="dxa"/>
            <w:tcBorders>
              <w:top w:val="nil"/>
              <w:bottom w:val="single" w:color="auto" w:sz="4" w:space="0"/>
            </w:tcBorders>
            <w:noWrap/>
            <w:vAlign w:val="center"/>
          </w:tcPr>
          <w:p>
            <w:pPr>
              <w:widowControl/>
              <w:jc w:val="center"/>
              <w:rPr>
                <w:rFonts w:ascii="仿宋" w:hAnsi="仿宋" w:eastAsia="仿宋" w:cs="仿宋"/>
                <w:sz w:val="24"/>
                <w:szCs w:val="24"/>
              </w:rPr>
            </w:pPr>
          </w:p>
        </w:tc>
        <w:tc>
          <w:tcPr>
            <w:tcW w:w="1143" w:type="dxa"/>
            <w:tcBorders>
              <w:top w:val="nil"/>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1157" w:type="dxa"/>
            <w:tcBorders>
              <w:top w:val="nil"/>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1152" w:type="dxa"/>
            <w:gridSpan w:val="2"/>
            <w:tcBorders>
              <w:top w:val="nil"/>
              <w:bottom w:val="single" w:color="auto" w:sz="4" w:space="0"/>
            </w:tcBorders>
            <w:noWrap/>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     计</w:t>
            </w: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5</w:t>
            </w:r>
          </w:p>
        </w:tc>
        <w:tc>
          <w:tcPr>
            <w:tcW w:w="1156" w:type="dxa"/>
            <w:gridSpan w:val="2"/>
            <w:tcBorders>
              <w:top w:val="single" w:color="auto" w:sz="4" w:space="0"/>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1113"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5</w:t>
            </w:r>
          </w:p>
        </w:tc>
        <w:tc>
          <w:tcPr>
            <w:tcW w:w="1372"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p>
        </w:tc>
        <w:tc>
          <w:tcPr>
            <w:tcW w:w="1371"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p>
        </w:tc>
        <w:tc>
          <w:tcPr>
            <w:tcW w:w="1143"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1157" w:type="dxa"/>
            <w:tcBorders>
              <w:top w:val="single" w:color="auto" w:sz="4" w:space="0"/>
              <w:bottom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1152" w:type="dxa"/>
            <w:gridSpan w:val="2"/>
            <w:tcBorders>
              <w:top w:val="single" w:color="auto" w:sz="4" w:space="0"/>
              <w:bottom w:val="single" w:color="auto" w:sz="4" w:space="0"/>
            </w:tcBorders>
            <w:noWrap/>
            <w:vAlign w:val="center"/>
          </w:tcPr>
          <w:p>
            <w:pPr>
              <w:widowControl/>
              <w:jc w:val="center"/>
              <w:rPr>
                <w:rFonts w:ascii="仿宋" w:hAnsi="仿宋" w:eastAsia="仿宋" w:cs="仿宋"/>
                <w:sz w:val="24"/>
                <w:szCs w:val="24"/>
              </w:rPr>
            </w:pPr>
          </w:p>
        </w:tc>
      </w:tr>
    </w:tbl>
    <w:p>
      <w:pPr>
        <w:numPr>
          <w:ilvl w:val="0"/>
          <w:numId w:val="1"/>
        </w:numPr>
        <w:autoSpaceDE w:val="0"/>
        <w:autoSpaceDN w:val="0"/>
        <w:adjustRightInd w:val="0"/>
        <w:ind w:firstLine="643" w:firstLineChars="200"/>
        <w:jc w:val="left"/>
        <w:rPr>
          <w:rFonts w:ascii="黑体" w:hAnsi="黑体" w:eastAsia="黑体" w:cs="黑体"/>
          <w:b/>
          <w:sz w:val="32"/>
          <w:szCs w:val="32"/>
        </w:rPr>
      </w:pPr>
      <w:r>
        <w:rPr>
          <w:rFonts w:hint="eastAsia" w:ascii="黑体" w:hAnsi="黑体" w:eastAsia="黑体" w:cs="黑体"/>
          <w:b/>
          <w:sz w:val="32"/>
          <w:szCs w:val="32"/>
        </w:rPr>
        <w:t>部门预算单位构成：</w:t>
      </w:r>
    </w:p>
    <w:p>
      <w:pPr>
        <w:autoSpaceDE w:val="0"/>
        <w:autoSpaceDN w:val="0"/>
        <w:adjustRightInd w:val="0"/>
        <w:ind w:left="420" w:leftChars="200" w:firstLine="640" w:firstLineChars="200"/>
        <w:jc w:val="left"/>
        <w:rPr>
          <w:rFonts w:ascii="黑体" w:hAnsi="黑体" w:eastAsia="黑体" w:cs="黑体"/>
          <w:b/>
          <w:sz w:val="32"/>
          <w:szCs w:val="32"/>
        </w:rPr>
      </w:pPr>
      <w:r>
        <w:rPr>
          <w:rFonts w:hint="eastAsia" w:ascii="仿宋" w:hAnsi="仿宋" w:eastAsia="仿宋" w:cs="仿宋"/>
          <w:sz w:val="32"/>
          <w:szCs w:val="32"/>
        </w:rPr>
        <w:t>丰宁县科学技术局无下设单位，本次公开的预算为丰宁满族自治县科学技术局本级预算。</w:t>
      </w:r>
    </w:p>
    <w:p>
      <w:pPr>
        <w:numPr>
          <w:ilvl w:val="0"/>
          <w:numId w:val="2"/>
        </w:numPr>
        <w:ind w:firstLine="640"/>
        <w:rPr>
          <w:rFonts w:ascii="黑体" w:hAnsi="黑体" w:eastAsia="黑体" w:cs="黑体"/>
          <w:b/>
          <w:bCs/>
          <w:sz w:val="32"/>
          <w:szCs w:val="32"/>
        </w:rPr>
      </w:pPr>
      <w:r>
        <w:rPr>
          <w:rFonts w:hint="eastAsia" w:ascii="黑体" w:hAnsi="黑体" w:eastAsia="黑体" w:cs="黑体"/>
          <w:b/>
          <w:bCs/>
          <w:sz w:val="32"/>
          <w:szCs w:val="32"/>
        </w:rPr>
        <w:t>部门预算安排的总体情况</w:t>
      </w:r>
    </w:p>
    <w:p>
      <w:pPr>
        <w:ind w:firstLine="640" w:firstLineChars="200"/>
        <w:rPr>
          <w:rFonts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按照预算管理有关规定，目前我县部门预算的编制实行综合预算制度，即全部收入和支出都反映在预算中。丰宁县科技局的收支包含在部门预算中。</w:t>
      </w:r>
    </w:p>
    <w:p>
      <w:pPr>
        <w:numPr>
          <w:ilvl w:val="0"/>
          <w:numId w:val="3"/>
        </w:numPr>
        <w:ind w:firstLine="640"/>
        <w:rPr>
          <w:rFonts w:ascii="仿宋" w:hAnsi="仿宋" w:eastAsia="仿宋" w:cs="仿宋"/>
          <w:b/>
          <w:bCs/>
          <w:sz w:val="32"/>
          <w:szCs w:val="32"/>
        </w:rPr>
      </w:pPr>
      <w:r>
        <w:rPr>
          <w:rFonts w:hint="eastAsia" w:ascii="仿宋" w:hAnsi="仿宋" w:eastAsia="仿宋" w:cs="仿宋"/>
          <w:b/>
          <w:bCs/>
          <w:sz w:val="32"/>
          <w:szCs w:val="32"/>
        </w:rPr>
        <w:t>收入说明</w:t>
      </w:r>
    </w:p>
    <w:p>
      <w:pPr>
        <w:ind w:firstLine="640" w:firstLineChars="200"/>
        <w:rPr>
          <w:rFonts w:ascii="仿宋" w:hAnsi="仿宋" w:eastAsia="仿宋" w:cs="仿宋"/>
          <w:sz w:val="32"/>
          <w:szCs w:val="32"/>
        </w:rPr>
      </w:pPr>
      <w:r>
        <w:rPr>
          <w:rFonts w:hint="eastAsia" w:ascii="仿宋" w:hAnsi="仿宋" w:eastAsia="仿宋" w:cs="仿宋"/>
          <w:sz w:val="32"/>
          <w:szCs w:val="32"/>
        </w:rPr>
        <w:t>反映本部门当年全部收入。2021年预算收入152.64万元，其中：一般公共预算收入152.64万元，基金预算收入0万元，其他来源收入0万元。</w:t>
      </w:r>
    </w:p>
    <w:p>
      <w:pPr>
        <w:numPr>
          <w:ilvl w:val="0"/>
          <w:numId w:val="3"/>
        </w:numPr>
        <w:ind w:firstLine="640"/>
        <w:rPr>
          <w:rFonts w:ascii="仿宋" w:hAnsi="仿宋" w:eastAsia="仿宋" w:cs="仿宋"/>
          <w:b/>
          <w:bCs/>
          <w:sz w:val="32"/>
          <w:szCs w:val="32"/>
        </w:rPr>
      </w:pPr>
      <w:r>
        <w:rPr>
          <w:rFonts w:hint="eastAsia" w:ascii="仿宋" w:hAnsi="仿宋" w:eastAsia="仿宋" w:cs="仿宋"/>
          <w:b/>
          <w:bCs/>
          <w:sz w:val="32"/>
          <w:szCs w:val="32"/>
        </w:rPr>
        <w:t>支出说明</w:t>
      </w:r>
    </w:p>
    <w:p>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丰宁县科技局年度部门预算中支出预算的总体情况。2021年支出预算152.64万元，其中基本支出136.44万元，包括人员经费122.84万元和日常公用经费13.60万元；项目支出16.20万元，其中本级支出16.20万元，对下补助0万元；其他支出0万元。</w:t>
      </w:r>
    </w:p>
    <w:p>
      <w:pPr>
        <w:ind w:firstLine="643" w:firstLineChars="200"/>
        <w:rPr>
          <w:rFonts w:ascii="仿宋" w:hAnsi="仿宋" w:eastAsia="仿宋" w:cs="仿宋"/>
          <w:b/>
          <w:bCs/>
          <w:color w:val="00B050"/>
          <w:sz w:val="32"/>
          <w:szCs w:val="32"/>
        </w:rPr>
      </w:pPr>
      <w:r>
        <w:rPr>
          <w:rFonts w:hint="eastAsia" w:ascii="仿宋" w:hAnsi="仿宋" w:eastAsia="仿宋" w:cs="仿宋"/>
          <w:b/>
          <w:bCs/>
          <w:sz w:val="32"/>
          <w:szCs w:val="32"/>
        </w:rPr>
        <w:t>（三）比上年增减情况</w:t>
      </w:r>
    </w:p>
    <w:p>
      <w:pPr>
        <w:ind w:firstLine="640"/>
        <w:rPr>
          <w:rFonts w:ascii="仿宋" w:hAnsi="仿宋" w:eastAsia="仿宋" w:cs="仿宋"/>
          <w:sz w:val="32"/>
          <w:szCs w:val="32"/>
        </w:rPr>
      </w:pPr>
      <w:r>
        <w:rPr>
          <w:rFonts w:hint="eastAsia" w:ascii="仿宋" w:hAnsi="仿宋" w:eastAsia="仿宋" w:cs="仿宋"/>
          <w:sz w:val="32"/>
          <w:szCs w:val="32"/>
        </w:rPr>
        <w:t>2021年预算收支安排152.64万元，较2020年预算减少1274.51万元，其中：基本支出增加29.29万元，主要为增加人员经费和日常公用经费支出；项目支出较2020年实际安排减少1303.8万元，主要减少项目资金安排。</w:t>
      </w:r>
    </w:p>
    <w:p>
      <w:pPr>
        <w:numPr>
          <w:ilvl w:val="0"/>
          <w:numId w:val="4"/>
        </w:numPr>
        <w:ind w:firstLine="640"/>
        <w:rPr>
          <w:rFonts w:ascii="黑体" w:hAnsi="黑体" w:eastAsia="黑体" w:cs="黑体"/>
          <w:b/>
          <w:bCs/>
          <w:sz w:val="32"/>
          <w:szCs w:val="32"/>
        </w:rPr>
      </w:pPr>
      <w:r>
        <w:rPr>
          <w:rFonts w:hint="eastAsia" w:ascii="黑体" w:hAnsi="黑体" w:eastAsia="黑体" w:cs="黑体"/>
          <w:b/>
          <w:bCs/>
          <w:sz w:val="32"/>
          <w:szCs w:val="32"/>
        </w:rPr>
        <w:t>机关运行经费安排情况</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2021年，我单位机关运行经费共计安排13.60万元，主要用于办公费2万元、邮电费3.3万元、差旅费0.8万元、工会经费0.86万元、福利费0.85万元、其他交通费用5.16万元等。</w:t>
      </w:r>
    </w:p>
    <w:p>
      <w:pPr>
        <w:tabs>
          <w:tab w:val="left" w:pos="11490"/>
        </w:tabs>
        <w:ind w:firstLine="643" w:firstLineChars="200"/>
        <w:rPr>
          <w:rFonts w:ascii="仿宋" w:hAnsi="仿宋" w:eastAsia="仿宋" w:cs="仿宋"/>
          <w:color w:val="00B050"/>
          <w:sz w:val="32"/>
          <w:szCs w:val="32"/>
        </w:rPr>
      </w:pPr>
      <w:r>
        <w:rPr>
          <w:rFonts w:hint="eastAsia" w:ascii="黑体" w:hAnsi="黑体" w:eastAsia="黑体" w:cs="黑体"/>
          <w:b/>
          <w:bCs/>
          <w:sz w:val="32"/>
          <w:szCs w:val="32"/>
        </w:rPr>
        <w:t>四、财政拨款“三公”经费预算情况及增减变化原因</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2021年单位 “三公”经费公共预算财政拨款预算0万元，比上年减少3万元，同比下降</w:t>
      </w:r>
      <w:r>
        <w:rPr>
          <w:rFonts w:hint="eastAsia" w:ascii="仿宋" w:hAnsi="仿宋" w:eastAsia="仿宋" w:cs="宋体"/>
          <w:sz w:val="32"/>
          <w:szCs w:val="32"/>
        </w:rPr>
        <w:t>300</w:t>
      </w:r>
      <w:r>
        <w:rPr>
          <w:rFonts w:hint="eastAsia" w:ascii="仿宋" w:hAnsi="仿宋" w:eastAsia="仿宋"/>
          <w:sz w:val="32"/>
          <w:szCs w:val="32"/>
        </w:rPr>
        <w:t>%。我部门三公经费变动主要原因分别是：车辆运行维护费用减少。</w:t>
      </w:r>
    </w:p>
    <w:p>
      <w:p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具体支出情况如下：</w:t>
      </w:r>
    </w:p>
    <w:p>
      <w:pPr>
        <w:numPr>
          <w:ilvl w:val="0"/>
          <w:numId w:val="5"/>
        </w:numPr>
        <w:spacing w:line="500" w:lineRule="exact"/>
        <w:ind w:firstLine="640" w:firstLineChars="200"/>
        <w:rPr>
          <w:rFonts w:ascii="仿宋" w:hAnsi="仿宋" w:eastAsia="仿宋"/>
          <w:sz w:val="32"/>
          <w:szCs w:val="32"/>
        </w:rPr>
      </w:pPr>
      <w:r>
        <w:rPr>
          <w:rFonts w:hint="eastAsia" w:ascii="仿宋" w:hAnsi="仿宋" w:eastAsia="仿宋"/>
          <w:sz w:val="32"/>
          <w:szCs w:val="32"/>
        </w:rPr>
        <w:t>因公出国（境）费0万元，同比无增减变化。</w:t>
      </w:r>
    </w:p>
    <w:p>
      <w:pPr>
        <w:numPr>
          <w:ilvl w:val="0"/>
          <w:numId w:val="5"/>
        </w:numPr>
        <w:spacing w:line="500" w:lineRule="exact"/>
        <w:ind w:firstLine="640" w:firstLineChars="200"/>
        <w:rPr>
          <w:rFonts w:ascii="仿宋" w:hAnsi="仿宋" w:eastAsia="仿宋"/>
          <w:sz w:val="32"/>
          <w:szCs w:val="32"/>
        </w:rPr>
      </w:pPr>
      <w:r>
        <w:rPr>
          <w:rFonts w:hint="eastAsia" w:ascii="仿宋" w:hAnsi="仿宋" w:eastAsia="仿宋"/>
          <w:sz w:val="32"/>
          <w:szCs w:val="32"/>
        </w:rPr>
        <w:t>公务用车购置及运行维护费0万元，同比减少3万元，同比下降</w:t>
      </w:r>
      <w:r>
        <w:rPr>
          <w:rFonts w:hint="eastAsia" w:ascii="仿宋" w:hAnsi="仿宋" w:eastAsia="仿宋" w:cs="宋体"/>
          <w:sz w:val="32"/>
          <w:szCs w:val="32"/>
        </w:rPr>
        <w:t>300</w:t>
      </w:r>
      <w:r>
        <w:rPr>
          <w:rFonts w:hint="eastAsia" w:ascii="仿宋" w:hAnsi="仿宋" w:eastAsia="仿宋"/>
          <w:sz w:val="32"/>
          <w:szCs w:val="32"/>
        </w:rPr>
        <w:t>%。</w:t>
      </w:r>
    </w:p>
    <w:p>
      <w:pPr>
        <w:numPr>
          <w:ilvl w:val="0"/>
          <w:numId w:val="6"/>
        </w:numPr>
        <w:spacing w:line="500" w:lineRule="exact"/>
        <w:ind w:firstLine="1280" w:firstLineChars="400"/>
        <w:rPr>
          <w:rFonts w:ascii="仿宋" w:hAnsi="仿宋" w:eastAsia="仿宋"/>
          <w:sz w:val="32"/>
          <w:szCs w:val="32"/>
        </w:rPr>
      </w:pPr>
      <w:r>
        <w:rPr>
          <w:rFonts w:hint="eastAsia" w:ascii="仿宋" w:hAnsi="仿宋" w:eastAsia="仿宋"/>
          <w:sz w:val="32"/>
          <w:szCs w:val="32"/>
        </w:rPr>
        <w:t>公务用车购置0万元。</w:t>
      </w:r>
    </w:p>
    <w:p>
      <w:pPr>
        <w:numPr>
          <w:ilvl w:val="0"/>
          <w:numId w:val="6"/>
        </w:numPr>
        <w:spacing w:line="500" w:lineRule="exact"/>
        <w:ind w:firstLine="1280" w:firstLineChars="400"/>
        <w:rPr>
          <w:rFonts w:ascii="仿宋" w:hAnsi="仿宋" w:eastAsia="仿宋"/>
          <w:sz w:val="32"/>
          <w:szCs w:val="32"/>
        </w:rPr>
      </w:pPr>
      <w:r>
        <w:rPr>
          <w:rFonts w:hint="eastAsia" w:ascii="仿宋" w:hAnsi="仿宋" w:eastAsia="仿宋"/>
          <w:sz w:val="32"/>
          <w:szCs w:val="32"/>
        </w:rPr>
        <w:t>公务用车运行维护费0万元，同比减少3万元，同比下降300%。减少的主要原因是：</w:t>
      </w:r>
      <w:r>
        <w:rPr>
          <w:rFonts w:hint="eastAsia" w:ascii="仿宋" w:hAnsi="仿宋" w:eastAsia="仿宋"/>
          <w:bCs/>
          <w:sz w:val="32"/>
          <w:szCs w:val="32"/>
        </w:rPr>
        <w:t>公车运维费用大幅下降。</w:t>
      </w:r>
    </w:p>
    <w:p>
      <w:pPr>
        <w:spacing w:line="500" w:lineRule="exact"/>
        <w:ind w:firstLine="640" w:firstLineChars="200"/>
        <w:rPr>
          <w:rFonts w:ascii="仿宋" w:hAnsi="仿宋" w:eastAsia="仿宋"/>
          <w:color w:val="FF0000"/>
          <w:sz w:val="32"/>
          <w:szCs w:val="32"/>
        </w:rPr>
      </w:pPr>
      <w:r>
        <w:rPr>
          <w:rFonts w:hint="eastAsia" w:ascii="仿宋" w:hAnsi="仿宋" w:eastAsia="仿宋"/>
          <w:sz w:val="32"/>
          <w:szCs w:val="32"/>
        </w:rPr>
        <w:t>（三）公务接待费0万元，与上年相同。</w:t>
      </w:r>
    </w:p>
    <w:p>
      <w:pPr>
        <w:tabs>
          <w:tab w:val="left" w:pos="11490"/>
        </w:tabs>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五、绩效预算信息</w:t>
      </w:r>
    </w:p>
    <w:p>
      <w:pPr>
        <w:ind w:firstLine="560" w:firstLineChars="200"/>
        <w:jc w:val="lef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第一部分 部门整体</w:t>
      </w:r>
      <w:r>
        <w:rPr>
          <w:rFonts w:ascii="Times New Roman" w:hAnsi="Times New Roman" w:eastAsia="方正仿宋_GBK" w:cs="Times New Roman"/>
          <w:b/>
          <w:sz w:val="28"/>
          <w:szCs w:val="28"/>
        </w:rPr>
        <w:t>绩效目标</w:t>
      </w:r>
    </w:p>
    <w:p>
      <w:pPr>
        <w:ind w:firstLine="643" w:firstLineChars="200"/>
        <w:jc w:val="left"/>
        <w:rPr>
          <w:rFonts w:ascii="黑体" w:hAnsi="黑体" w:eastAsia="黑体" w:cs="黑体"/>
          <w:b/>
          <w:sz w:val="32"/>
          <w:szCs w:val="32"/>
        </w:rPr>
      </w:pPr>
      <w:r>
        <w:rPr>
          <w:rFonts w:hint="eastAsia" w:ascii="黑体" w:hAnsi="黑体" w:eastAsia="黑体" w:cs="黑体"/>
          <w:b/>
          <w:sz w:val="32"/>
          <w:szCs w:val="32"/>
        </w:rPr>
        <w:t>（一）总体绩效目标：</w:t>
      </w:r>
    </w:p>
    <w:p>
      <w:pPr>
        <w:spacing w:line="500" w:lineRule="exact"/>
        <w:ind w:firstLine="640" w:firstLineChars="200"/>
        <w:jc w:val="left"/>
        <w:rPr>
          <w:rFonts w:eastAsia="方正仿宋_GBK"/>
          <w:sz w:val="28"/>
        </w:rPr>
      </w:pPr>
      <w:r>
        <w:rPr>
          <w:rFonts w:hint="eastAsia" w:ascii="仿宋" w:hAnsi="仿宋" w:eastAsia="仿宋" w:cs="仿宋"/>
          <w:sz w:val="32"/>
          <w:szCs w:val="32"/>
        </w:rPr>
        <w:t xml:space="preserve">以习近平新时代中国特色社会主义思想为指导，深入贯彻党的十九届五中全会精神，落实县委县政府决策部署，以探索并坚持科技创新工作的系统性和规律性为基础，以提升科技创新工作能力和完善工作体系为目标，以推动科技创新三年行动计划各项目标任务落实落地为主线，进一步完善多主体协同、多要素联动、多领域互动的综合创新生态体系，力争高新技术企业达到10 家、省级科技创新平台达到3家，科技型中小企业达到140 家，科技小巨人企业达到6 家，科技特派员产业扶贫专家服务团达到7个，申报实施省市科研计划项目5项，全面增强科技创新对建设经济强县的引领支撑作用。  </w:t>
      </w:r>
    </w:p>
    <w:p>
      <w:pPr>
        <w:ind w:left="420" w:leftChars="200" w:firstLine="321" w:firstLineChars="100"/>
        <w:jc w:val="left"/>
        <w:rPr>
          <w:rFonts w:ascii="黑体" w:hAnsi="黑体" w:eastAsia="黑体" w:cs="黑体"/>
          <w:b/>
          <w:sz w:val="32"/>
          <w:szCs w:val="32"/>
        </w:rPr>
      </w:pPr>
      <w:r>
        <w:rPr>
          <w:rFonts w:hint="eastAsia" w:ascii="黑体" w:hAnsi="黑体" w:eastAsia="黑体" w:cs="黑体"/>
          <w:b/>
          <w:sz w:val="32"/>
          <w:szCs w:val="32"/>
        </w:rPr>
        <w:t>（二）分</w:t>
      </w:r>
      <w:r>
        <w:rPr>
          <w:rFonts w:hint="eastAsia" w:ascii="黑体" w:hAnsi="黑体" w:eastAsia="黑体" w:cs="黑体"/>
          <w:b/>
          <w:sz w:val="32"/>
          <w:szCs w:val="32"/>
          <w:lang w:eastAsia="zh-CN"/>
        </w:rPr>
        <w:t>项</w:t>
      </w:r>
      <w:r>
        <w:rPr>
          <w:rFonts w:hint="eastAsia" w:ascii="黑体" w:hAnsi="黑体" w:eastAsia="黑体" w:cs="黑体"/>
          <w:b/>
          <w:sz w:val="32"/>
          <w:szCs w:val="32"/>
        </w:rPr>
        <w:t>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1、创新载体建设水平实现新提升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目标：提升创新主体数量，引进和培养高层次创新人才，打造高水平研发平台，创建一流科技园区，广泛开展科学普及活动，加强科技合作，促进平台、机构、园区、基地等科技创新载体提质增效，为提升我县综合科技创新能力提供有力支撑。</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绩效指标：高新技术企业力争达到10家；科技型中小企业达到 140家；科技小巨人企业达到6家；省级以上研发平台达到3家。</w:t>
      </w:r>
    </w:p>
    <w:p>
      <w:pPr>
        <w:numPr>
          <w:ilvl w:val="0"/>
          <w:numId w:val="7"/>
        </w:num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科技成果转化步伐进一步加快</w:t>
      </w:r>
    </w:p>
    <w:p>
      <w:pPr>
        <w:spacing w:line="500" w:lineRule="exact"/>
        <w:ind w:firstLine="707" w:firstLineChars="221"/>
        <w:jc w:val="left"/>
        <w:rPr>
          <w:rFonts w:ascii="仿宋" w:hAnsi="仿宋" w:eastAsia="仿宋" w:cs="仿宋"/>
          <w:sz w:val="32"/>
          <w:szCs w:val="32"/>
        </w:rPr>
      </w:pPr>
      <w:r>
        <w:rPr>
          <w:rFonts w:hint="eastAsia" w:ascii="仿宋" w:hAnsi="仿宋" w:eastAsia="仿宋" w:cs="仿宋"/>
          <w:sz w:val="32"/>
          <w:szCs w:val="32"/>
        </w:rPr>
        <w:t>年度目标：面向我县经济社会发展重大需求，围绕重点产业发展布局，支持企业申报省市科研计划项目，转化一批创新水平高、行业带动力强、能够形成经济新增长点的重大科技成果，形成一批高附加值新产品，着力加快推科技成果在我县转化和产业化。</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绩效指标：申报实施省市科研计划项目5项；4项科技成果落地转化。</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3、引才引智工作再上新台阶</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年度目标：坚持目标导向，聚焦重点，抓住关键，紧紧围绕县委县政府工作中心，全面突出人才引进、专家管理服务两个重心，在引进高端人才服务产业技术创新，继续推动全县引才引智工作再上新台阶。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绩效指标：科技特派员产业扶贫专家服务才达到7个；引进30名域外专家；开展技术培训25场次；培训农民1100人；开展线上培训服务12场次。</w:t>
      </w:r>
    </w:p>
    <w:p>
      <w:pPr>
        <w:numPr>
          <w:ilvl w:val="0"/>
          <w:numId w:val="5"/>
        </w:numPr>
        <w:ind w:firstLine="643" w:firstLineChars="200"/>
        <w:jc w:val="left"/>
        <w:rPr>
          <w:rFonts w:ascii="黑体" w:hAnsi="黑体" w:eastAsia="黑体" w:cs="黑体"/>
          <w:b/>
          <w:sz w:val="32"/>
          <w:szCs w:val="32"/>
        </w:rPr>
      </w:pPr>
      <w:r>
        <w:rPr>
          <w:rFonts w:hint="eastAsia" w:ascii="黑体" w:hAnsi="黑体" w:eastAsia="黑体" w:cs="黑体"/>
          <w:b/>
          <w:sz w:val="32"/>
          <w:szCs w:val="32"/>
          <w:lang w:eastAsia="zh-CN"/>
        </w:rPr>
        <w:t>工作保障措施</w:t>
      </w:r>
    </w:p>
    <w:p>
      <w:pPr>
        <w:spacing w:line="500" w:lineRule="exact"/>
        <w:ind w:firstLine="643" w:firstLineChars="200"/>
        <w:jc w:val="left"/>
        <w:rPr>
          <w:rFonts w:hint="eastAsia" w:ascii="仿宋" w:hAnsi="仿宋" w:eastAsia="仿宋" w:cs="仿宋"/>
          <w:sz w:val="32"/>
          <w:szCs w:val="32"/>
        </w:rPr>
      </w:pPr>
      <w:r>
        <w:rPr>
          <w:rFonts w:hint="eastAsia" w:ascii="黑体" w:hAnsi="黑体" w:eastAsia="黑体" w:cs="黑体"/>
          <w:b/>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加强组织领导。充分发挥县级科技管理部门职能作用，统筹谋划全面实施预算绩效管理工作。成立局主要领导和主要股室负责同志组成的领导小组，围绕各专项设定的重点任务，加强顶层设计，优化资源配置，明确责任分工，强化任务落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加强预算管理。严格执行预算管理，确保项目资金及时拨付。加强支出进度分析，及时反映预算执行动态，加快预算支出进度。建立健全加强预算支出执行管理的长效机制，增强部门预算单位加强预算执行的责任意识，强化财政资金使用的追踪问效，提高财政资金的效益性和安全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强化评价监督。加强内部监督制度建设，组织开展预算绩效自评和重点评价工作，对绩效运行情况、重大支出决策、资产处置及其他重要经济业务事项的决策和执行进行督导。加强内部审计，并配合做好审计、财政监督等外部监督工作，确保财政资金安全有效。</w:t>
      </w:r>
    </w:p>
    <w:p>
      <w:pPr>
        <w:ind w:firstLine="560"/>
        <w:rPr>
          <w:rFonts w:ascii="黑体" w:hAnsi="黑体" w:eastAsia="黑体" w:cs="黑体"/>
          <w:b/>
          <w:sz w:val="32"/>
          <w:szCs w:val="32"/>
        </w:rPr>
      </w:pPr>
      <w:r>
        <w:rPr>
          <w:rFonts w:hint="eastAsia" w:ascii="Times New Roman" w:hAnsi="Times New Roman" w:eastAsia="方正仿宋_GBK" w:cs="Times New Roman"/>
          <w:b/>
          <w:sz w:val="28"/>
          <w:szCs w:val="28"/>
        </w:rPr>
        <w:t>第二部分  预算项目绩效目标：</w:t>
      </w:r>
      <w:bookmarkStart w:id="1" w:name="_GoBack"/>
      <w:bookmarkEnd w:id="1"/>
    </w:p>
    <w:p>
      <w:pPr>
        <w:ind w:firstLine="560" w:firstLineChars="200"/>
        <w:jc w:val="left"/>
        <w:outlineLvl w:val="3"/>
        <w:rPr>
          <w:rFonts w:hAnsi="宋体"/>
          <w:b/>
          <w:sz w:val="28"/>
        </w:rPr>
      </w:pPr>
      <w:bookmarkStart w:id="0" w:name="_Toc65831613"/>
      <w:r>
        <w:rPr>
          <w:rFonts w:hint="eastAsia" w:ascii="方正仿宋_GBK" w:eastAsia="方正仿宋_GBK"/>
          <w:b/>
          <w:sz w:val="28"/>
        </w:rPr>
        <w:t>1.国家农业科技园区和专家工作站运行经费项目绩效目标表</w:t>
      </w:r>
      <w:bookmarkEnd w:id="0"/>
      <w:r>
        <w:fldChar w:fldCharType="begin"/>
      </w:r>
      <w:r>
        <w:rPr>
          <w:rFonts w:hint="eastAsia" w:ascii="方正仿宋_GBK" w:eastAsia="方正仿宋_GBK"/>
          <w:b/>
          <w:sz w:val="28"/>
        </w:rPr>
        <w:instrText xml:space="preserve">TC 1、国家农业科技园区和专家工作站运行经费项目绩效目标表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306001</w:t>
            </w:r>
            <w:r>
              <w:rPr>
                <w:rFonts w:hint="eastAsia" w:ascii="方正书宋_GBK" w:eastAsia="方正书宋_GBK"/>
                <w:b/>
              </w:rPr>
              <w:t>丰宁满族自治县科学技术局本级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13082621OGDRK0M7K97N6</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国家农业科技园区和专家工作站运行经费项目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16.20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16.20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专项资金用于</w:t>
            </w:r>
            <w:r>
              <w:rPr>
                <w:rFonts w:ascii="方正书宋_GBK" w:eastAsia="方正书宋_GBK"/>
              </w:rPr>
              <w:t>2021</w:t>
            </w:r>
            <w:r>
              <w:rPr>
                <w:rFonts w:hint="eastAsia" w:ascii="方正书宋_GBK" w:eastAsia="方正书宋_GBK"/>
              </w:rPr>
              <w:t>年国家农业科技园区和专家工作站工作运行。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完成国家农业园区</w:t>
            </w:r>
            <w:r>
              <w:rPr>
                <w:rFonts w:ascii="方正书宋_GBK" w:eastAsia="方正书宋_GBK"/>
              </w:rPr>
              <w:t>2021</w:t>
            </w:r>
            <w:r>
              <w:rPr>
                <w:rFonts w:hint="eastAsia" w:ascii="方正书宋_GBK" w:eastAsia="方正书宋_GBK"/>
              </w:rPr>
              <w:t>年度工作目标任务。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完成专家工作站</w:t>
            </w:r>
            <w:r>
              <w:rPr>
                <w:rFonts w:ascii="方正书宋_GBK" w:eastAsia="方正书宋_GBK"/>
              </w:rPr>
              <w:t>2021</w:t>
            </w:r>
            <w:r>
              <w:rPr>
                <w:rFonts w:hint="eastAsia" w:ascii="方正书宋_GBK" w:eastAsia="方正书宋_GBK"/>
              </w:rPr>
              <w:t>年度工作目标任务。</w:t>
            </w:r>
          </w:p>
        </w:tc>
      </w:tr>
    </w:tbl>
    <w:p>
      <w:pPr>
        <w:spacing w:line="14" w:lineRule="exact"/>
        <w:jc w:val="center"/>
        <w:rPr>
          <w:rFonts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新增高新技术企业数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新增高新技术企业数量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认定证书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新增科技型中小企业数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新增科技型中小企业数量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认定证书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新增科技小巨人企业数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新增科技型小巨人企业数量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认定证书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质量达标率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完成工作质量达标率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完成时效性</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工作按计划时限完成</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目标考核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间接服务经济发展</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通过科技创新，间接促进经济发展</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有效</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公众调查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创新认知提升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公众对科技创新认知提升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公众调查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服务对象对履职效果满意程度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公众调查</w:t>
            </w:r>
          </w:p>
        </w:tc>
      </w:tr>
    </w:tbl>
    <w:p>
      <w:pPr>
        <w:spacing w:line="300" w:lineRule="exact"/>
        <w:jc w:val="left"/>
        <w:sectPr>
          <w:pgSz w:w="16783" w:h="11850" w:orient="landscape"/>
          <w:pgMar w:top="1304" w:right="1984" w:bottom="1304" w:left="1134" w:header="851" w:footer="992" w:gutter="0"/>
          <w:cols w:space="425" w:num="1"/>
          <w:docGrid w:type="lines" w:linePitch="312" w:charSpace="0"/>
        </w:sectPr>
      </w:pPr>
    </w:p>
    <w:p>
      <w:pPr>
        <w:numPr>
          <w:ilvl w:val="0"/>
          <w:numId w:val="8"/>
        </w:numPr>
        <w:tabs>
          <w:tab w:val="left" w:pos="11490"/>
        </w:tabs>
        <w:ind w:left="640"/>
        <w:rPr>
          <w:rFonts w:ascii="黑体" w:hAnsi="黑体" w:eastAsia="黑体" w:cs="黑体"/>
          <w:b/>
          <w:bCs/>
          <w:sz w:val="32"/>
          <w:szCs w:val="32"/>
        </w:rPr>
      </w:pPr>
      <w:r>
        <w:rPr>
          <w:rFonts w:hint="eastAsia" w:ascii="黑体" w:hAnsi="黑体" w:eastAsia="黑体" w:cs="黑体"/>
          <w:b/>
          <w:bCs/>
          <w:sz w:val="32"/>
          <w:szCs w:val="32"/>
        </w:rPr>
        <w:t>政府采购预算情况</w:t>
      </w:r>
    </w:p>
    <w:p>
      <w:pPr>
        <w:tabs>
          <w:tab w:val="left" w:pos="11490"/>
        </w:tabs>
        <w:rPr>
          <w:rFonts w:ascii="黑体" w:hAnsi="黑体" w:eastAsia="黑体" w:cs="黑体"/>
          <w:b/>
          <w:bCs/>
          <w:sz w:val="32"/>
          <w:szCs w:val="32"/>
        </w:rPr>
      </w:pPr>
      <w:r>
        <w:rPr>
          <w:rFonts w:hint="eastAsia" w:ascii="仿宋" w:hAnsi="仿宋" w:eastAsia="仿宋" w:cs="仿宋"/>
          <w:sz w:val="32"/>
          <w:szCs w:val="32"/>
        </w:rPr>
        <w:t xml:space="preserve"> 2021年，本单位无政府采购预算安排。</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七、国有资产信息</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丰宁县科学技术局上年末固定资产金额为14.50万元</w:t>
      </w:r>
      <w:r>
        <w:rPr>
          <w:rFonts w:hint="eastAsia" w:ascii="仿宋" w:hAnsi="仿宋" w:eastAsia="仿宋" w:cs="仿宋"/>
          <w:sz w:val="32"/>
          <w:szCs w:val="32"/>
          <w:lang w:eastAsia="zh-CN"/>
        </w:rPr>
        <w:t>，主要为通用设备和家具等办公设备。</w:t>
      </w:r>
    </w:p>
    <w:tbl>
      <w:tblPr>
        <w:tblStyle w:val="8"/>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noWrap/>
            <w:vAlign w:val="center"/>
          </w:tcPr>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丰宁满族自治县科学技术局固定资产占用情况表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编制部门：丰宁满族自治县科学技术局</w:t>
            </w:r>
          </w:p>
        </w:tc>
        <w:tc>
          <w:tcPr>
            <w:tcW w:w="5103" w:type="dxa"/>
            <w:tcBorders>
              <w:top w:val="nil"/>
              <w:left w:val="nil"/>
              <w:bottom w:val="nil"/>
              <w:right w:val="nil"/>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截止时间：2020年12月31日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14.50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highlight w:val="yellow"/>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highlight w:val="yellow"/>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3、单价在50万元以上的设备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14.50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14.50</w:t>
            </w:r>
          </w:p>
        </w:tc>
      </w:tr>
    </w:tbl>
    <w:p>
      <w:pPr>
        <w:tabs>
          <w:tab w:val="left" w:pos="11490"/>
        </w:tabs>
        <w:ind w:left="640"/>
        <w:rPr>
          <w:rFonts w:ascii="黑体" w:hAnsi="黑体" w:eastAsia="黑体" w:cs="黑体"/>
          <w:b/>
          <w:bCs/>
          <w:sz w:val="32"/>
          <w:szCs w:val="32"/>
        </w:rPr>
      </w:pPr>
      <w:r>
        <w:rPr>
          <w:rFonts w:hint="eastAsia" w:ascii="黑体" w:hAnsi="黑体" w:eastAsia="黑体" w:cs="黑体"/>
          <w:b/>
          <w:bCs/>
          <w:sz w:val="32"/>
          <w:szCs w:val="32"/>
        </w:rPr>
        <w:t>八、名词解释</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指省级财政当年拨付的资金。</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6、机关运行费：</w:t>
      </w:r>
      <w:r>
        <w:rPr>
          <w:rFonts w:hint="eastAsia" w:ascii="仿宋" w:hAnsi="仿宋" w:eastAsia="仿宋" w:cs="仿宋"/>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ascii="黑体" w:hAnsi="黑体" w:eastAsia="黑体" w:cs="黑体"/>
          <w:b/>
          <w:bCs/>
          <w:sz w:val="32"/>
          <w:szCs w:val="32"/>
        </w:rPr>
      </w:pPr>
      <w:r>
        <w:rPr>
          <w:rFonts w:hint="eastAsia" w:ascii="黑体" w:hAnsi="黑体" w:eastAsia="黑体" w:cs="黑体"/>
          <w:b/>
          <w:bCs/>
          <w:sz w:val="32"/>
          <w:szCs w:val="32"/>
        </w:rPr>
        <w:t>九、其他需要说明的事项</w:t>
      </w:r>
    </w:p>
    <w:p>
      <w:pPr>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1、我部门无政府基金预算，《政府基金预算财政拨款支出表》为空表列示。</w:t>
      </w:r>
    </w:p>
    <w:p>
      <w:pPr>
        <w:tabs>
          <w:tab w:val="left" w:pos="11490"/>
        </w:tabs>
        <w:spacing w:line="500" w:lineRule="exact"/>
        <w:ind w:firstLine="640" w:firstLineChars="200"/>
        <w:rPr>
          <w:rFonts w:ascii="黑体" w:hAnsi="黑体" w:eastAsia="黑体" w:cs="黑体"/>
          <w:b/>
          <w:bCs/>
          <w:color w:val="00B050"/>
          <w:sz w:val="32"/>
          <w:szCs w:val="32"/>
        </w:rPr>
      </w:pPr>
      <w:r>
        <w:rPr>
          <w:rFonts w:hint="eastAsia" w:ascii="仿宋" w:hAnsi="仿宋" w:eastAsia="仿宋" w:cs="仿宋"/>
          <w:sz w:val="32"/>
          <w:szCs w:val="32"/>
        </w:rPr>
        <w:t>2、我部门无国有资本经营预算，《国有资本经营预算财政拨款支出表》为空表列示。</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54D8F"/>
    <w:multiLevelType w:val="singleLevel"/>
    <w:tmpl w:val="8AC54D8F"/>
    <w:lvl w:ilvl="0" w:tentative="0">
      <w:start w:val="3"/>
      <w:numFmt w:val="chineseCounting"/>
      <w:suff w:val="nothing"/>
      <w:lvlText w:val="%1、"/>
      <w:lvlJc w:val="left"/>
      <w:rPr>
        <w:rFonts w:hint="eastAsia"/>
      </w:rPr>
    </w:lvl>
  </w:abstractNum>
  <w:abstractNum w:abstractNumId="1">
    <w:nsid w:val="95A243A7"/>
    <w:multiLevelType w:val="singleLevel"/>
    <w:tmpl w:val="95A243A7"/>
    <w:lvl w:ilvl="0" w:tentative="0">
      <w:start w:val="1"/>
      <w:numFmt w:val="chineseCounting"/>
      <w:suff w:val="nothing"/>
      <w:lvlText w:val="（%1）"/>
      <w:lvlJc w:val="left"/>
      <w:rPr>
        <w:rFonts w:hint="eastAsia"/>
      </w:rPr>
    </w:lvl>
  </w:abstractNum>
  <w:abstractNum w:abstractNumId="2">
    <w:nsid w:val="AAC685D5"/>
    <w:multiLevelType w:val="singleLevel"/>
    <w:tmpl w:val="AAC685D5"/>
    <w:lvl w:ilvl="0" w:tentative="0">
      <w:start w:val="1"/>
      <w:numFmt w:val="chineseCounting"/>
      <w:suff w:val="nothing"/>
      <w:lvlText w:val="（%1）"/>
      <w:lvlJc w:val="left"/>
      <w:rPr>
        <w:rFonts w:hint="eastAsia"/>
      </w:rPr>
    </w:lvl>
  </w:abstractNum>
  <w:abstractNum w:abstractNumId="3">
    <w:nsid w:val="B4FABC3A"/>
    <w:multiLevelType w:val="singleLevel"/>
    <w:tmpl w:val="B4FABC3A"/>
    <w:lvl w:ilvl="0" w:tentative="0">
      <w:start w:val="2"/>
      <w:numFmt w:val="decimal"/>
      <w:suff w:val="nothing"/>
      <w:lvlText w:val="%1、"/>
      <w:lvlJc w:val="left"/>
    </w:lvl>
  </w:abstractNum>
  <w:abstractNum w:abstractNumId="4">
    <w:nsid w:val="E6917A72"/>
    <w:multiLevelType w:val="singleLevel"/>
    <w:tmpl w:val="E6917A72"/>
    <w:lvl w:ilvl="0" w:tentative="0">
      <w:start w:val="6"/>
      <w:numFmt w:val="chineseCounting"/>
      <w:suff w:val="nothing"/>
      <w:lvlText w:val="%1、"/>
      <w:lvlJc w:val="left"/>
      <w:rPr>
        <w:rFonts w:hint="eastAsia"/>
      </w:rPr>
    </w:lvl>
  </w:abstractNum>
  <w:abstractNum w:abstractNumId="5">
    <w:nsid w:val="E97D1B95"/>
    <w:multiLevelType w:val="singleLevel"/>
    <w:tmpl w:val="E97D1B95"/>
    <w:lvl w:ilvl="0" w:tentative="0">
      <w:start w:val="2"/>
      <w:numFmt w:val="chineseCounting"/>
      <w:suff w:val="nothing"/>
      <w:lvlText w:val="（%1）"/>
      <w:lvlJc w:val="left"/>
      <w:rPr>
        <w:rFonts w:hint="eastAsia"/>
      </w:rPr>
    </w:lvl>
  </w:abstractNum>
  <w:abstractNum w:abstractNumId="6">
    <w:nsid w:val="F6D015DD"/>
    <w:multiLevelType w:val="singleLevel"/>
    <w:tmpl w:val="F6D015DD"/>
    <w:lvl w:ilvl="0" w:tentative="0">
      <w:start w:val="1"/>
      <w:numFmt w:val="decimal"/>
      <w:suff w:val="nothing"/>
      <w:lvlText w:val="（%1）"/>
      <w:lvlJc w:val="left"/>
    </w:lvl>
  </w:abstractNum>
  <w:abstractNum w:abstractNumId="7">
    <w:nsid w:val="4022F312"/>
    <w:multiLevelType w:val="singleLevel"/>
    <w:tmpl w:val="4022F312"/>
    <w:lvl w:ilvl="0" w:tentative="0">
      <w:start w:val="2"/>
      <w:numFmt w:val="chineseCounting"/>
      <w:suff w:val="nothing"/>
      <w:lvlText w:val="%1、"/>
      <w:lvlJc w:val="left"/>
      <w:rPr>
        <w:rFonts w:hint="eastAsia"/>
      </w:rPr>
    </w:lvl>
  </w:abstractNum>
  <w:num w:numId="1">
    <w:abstractNumId w:val="5"/>
  </w:num>
  <w:num w:numId="2">
    <w:abstractNumId w:val="7"/>
  </w:num>
  <w:num w:numId="3">
    <w:abstractNumId w:val="2"/>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58DB"/>
    <w:rsid w:val="00037AF6"/>
    <w:rsid w:val="00075D5F"/>
    <w:rsid w:val="00080C24"/>
    <w:rsid w:val="00086FF7"/>
    <w:rsid w:val="000B529B"/>
    <w:rsid w:val="000B75EB"/>
    <w:rsid w:val="000C3A19"/>
    <w:rsid w:val="000D2B03"/>
    <w:rsid w:val="000D6808"/>
    <w:rsid w:val="000F6C1C"/>
    <w:rsid w:val="0010105E"/>
    <w:rsid w:val="00103B16"/>
    <w:rsid w:val="001245BB"/>
    <w:rsid w:val="00124C62"/>
    <w:rsid w:val="001251A3"/>
    <w:rsid w:val="001D2094"/>
    <w:rsid w:val="001F7873"/>
    <w:rsid w:val="00222F64"/>
    <w:rsid w:val="00241FD4"/>
    <w:rsid w:val="00251B12"/>
    <w:rsid w:val="00293A59"/>
    <w:rsid w:val="00296113"/>
    <w:rsid w:val="002A0737"/>
    <w:rsid w:val="002A673A"/>
    <w:rsid w:val="002A7D60"/>
    <w:rsid w:val="002C5E13"/>
    <w:rsid w:val="002C62BC"/>
    <w:rsid w:val="002C6420"/>
    <w:rsid w:val="002D7084"/>
    <w:rsid w:val="002E0EB8"/>
    <w:rsid w:val="002F22B5"/>
    <w:rsid w:val="002F3E58"/>
    <w:rsid w:val="00302F50"/>
    <w:rsid w:val="0030542C"/>
    <w:rsid w:val="00311B7A"/>
    <w:rsid w:val="00316C57"/>
    <w:rsid w:val="00345C48"/>
    <w:rsid w:val="003831A4"/>
    <w:rsid w:val="00391FBF"/>
    <w:rsid w:val="003A613E"/>
    <w:rsid w:val="003B3EDA"/>
    <w:rsid w:val="003B7B6B"/>
    <w:rsid w:val="003E4391"/>
    <w:rsid w:val="0040568B"/>
    <w:rsid w:val="00424943"/>
    <w:rsid w:val="0043175C"/>
    <w:rsid w:val="00437296"/>
    <w:rsid w:val="00443423"/>
    <w:rsid w:val="00451590"/>
    <w:rsid w:val="00451871"/>
    <w:rsid w:val="004565D3"/>
    <w:rsid w:val="00457F66"/>
    <w:rsid w:val="004611DE"/>
    <w:rsid w:val="004706DE"/>
    <w:rsid w:val="00472923"/>
    <w:rsid w:val="00477E85"/>
    <w:rsid w:val="00480345"/>
    <w:rsid w:val="004863C0"/>
    <w:rsid w:val="004B0C3A"/>
    <w:rsid w:val="004D5788"/>
    <w:rsid w:val="004E1A7F"/>
    <w:rsid w:val="004E3066"/>
    <w:rsid w:val="004E74CD"/>
    <w:rsid w:val="00505FA0"/>
    <w:rsid w:val="00521B7E"/>
    <w:rsid w:val="00535309"/>
    <w:rsid w:val="0054029F"/>
    <w:rsid w:val="00550813"/>
    <w:rsid w:val="00555DD0"/>
    <w:rsid w:val="00572067"/>
    <w:rsid w:val="00573562"/>
    <w:rsid w:val="005752D2"/>
    <w:rsid w:val="00581034"/>
    <w:rsid w:val="00583586"/>
    <w:rsid w:val="00590ECE"/>
    <w:rsid w:val="00592F3F"/>
    <w:rsid w:val="00595FD9"/>
    <w:rsid w:val="005A0932"/>
    <w:rsid w:val="005B519F"/>
    <w:rsid w:val="005C1631"/>
    <w:rsid w:val="006072BA"/>
    <w:rsid w:val="00613DEA"/>
    <w:rsid w:val="00614A29"/>
    <w:rsid w:val="00632255"/>
    <w:rsid w:val="00643BE3"/>
    <w:rsid w:val="00673D76"/>
    <w:rsid w:val="006854F0"/>
    <w:rsid w:val="0069538F"/>
    <w:rsid w:val="006A0A46"/>
    <w:rsid w:val="006A6BC1"/>
    <w:rsid w:val="006B06D2"/>
    <w:rsid w:val="006B1C4A"/>
    <w:rsid w:val="006B610D"/>
    <w:rsid w:val="006C2B4C"/>
    <w:rsid w:val="006D014F"/>
    <w:rsid w:val="006D06A9"/>
    <w:rsid w:val="006E49F5"/>
    <w:rsid w:val="006F109E"/>
    <w:rsid w:val="006F32D0"/>
    <w:rsid w:val="007013C8"/>
    <w:rsid w:val="00713248"/>
    <w:rsid w:val="007252F4"/>
    <w:rsid w:val="00746D03"/>
    <w:rsid w:val="007471F9"/>
    <w:rsid w:val="00753836"/>
    <w:rsid w:val="0075393C"/>
    <w:rsid w:val="00754592"/>
    <w:rsid w:val="00776C08"/>
    <w:rsid w:val="007C219A"/>
    <w:rsid w:val="007E1DA8"/>
    <w:rsid w:val="007F6C26"/>
    <w:rsid w:val="00813208"/>
    <w:rsid w:val="008334AE"/>
    <w:rsid w:val="00834D86"/>
    <w:rsid w:val="00836FED"/>
    <w:rsid w:val="0083724E"/>
    <w:rsid w:val="00845271"/>
    <w:rsid w:val="00845CD2"/>
    <w:rsid w:val="00852B0D"/>
    <w:rsid w:val="00867334"/>
    <w:rsid w:val="00877459"/>
    <w:rsid w:val="00881183"/>
    <w:rsid w:val="00881692"/>
    <w:rsid w:val="008A6576"/>
    <w:rsid w:val="008B3CC5"/>
    <w:rsid w:val="008B52CD"/>
    <w:rsid w:val="008D0461"/>
    <w:rsid w:val="008E4261"/>
    <w:rsid w:val="008E5D9C"/>
    <w:rsid w:val="008F4662"/>
    <w:rsid w:val="009039E5"/>
    <w:rsid w:val="0090478B"/>
    <w:rsid w:val="00905D08"/>
    <w:rsid w:val="00925753"/>
    <w:rsid w:val="00940775"/>
    <w:rsid w:val="009425F4"/>
    <w:rsid w:val="009579C1"/>
    <w:rsid w:val="00966C5C"/>
    <w:rsid w:val="00973104"/>
    <w:rsid w:val="00980821"/>
    <w:rsid w:val="00993FC8"/>
    <w:rsid w:val="00995BF0"/>
    <w:rsid w:val="009A16D5"/>
    <w:rsid w:val="009A353D"/>
    <w:rsid w:val="009A4D14"/>
    <w:rsid w:val="009B0B77"/>
    <w:rsid w:val="009B511E"/>
    <w:rsid w:val="009B7428"/>
    <w:rsid w:val="009D0E6B"/>
    <w:rsid w:val="009E228A"/>
    <w:rsid w:val="00A2203D"/>
    <w:rsid w:val="00A3458E"/>
    <w:rsid w:val="00A44E3D"/>
    <w:rsid w:val="00A642A5"/>
    <w:rsid w:val="00A644CE"/>
    <w:rsid w:val="00A72D2E"/>
    <w:rsid w:val="00A74447"/>
    <w:rsid w:val="00A74CE5"/>
    <w:rsid w:val="00A849DF"/>
    <w:rsid w:val="00A87F64"/>
    <w:rsid w:val="00A911E7"/>
    <w:rsid w:val="00A939D9"/>
    <w:rsid w:val="00AA24D0"/>
    <w:rsid w:val="00AB3220"/>
    <w:rsid w:val="00AD7316"/>
    <w:rsid w:val="00B039ED"/>
    <w:rsid w:val="00B16644"/>
    <w:rsid w:val="00B20712"/>
    <w:rsid w:val="00B20D90"/>
    <w:rsid w:val="00B43238"/>
    <w:rsid w:val="00B45DD3"/>
    <w:rsid w:val="00B45E21"/>
    <w:rsid w:val="00B75216"/>
    <w:rsid w:val="00B91D52"/>
    <w:rsid w:val="00B9477E"/>
    <w:rsid w:val="00B9490F"/>
    <w:rsid w:val="00BA1ACD"/>
    <w:rsid w:val="00BA5DAF"/>
    <w:rsid w:val="00BC4407"/>
    <w:rsid w:val="00BC6015"/>
    <w:rsid w:val="00BD09F8"/>
    <w:rsid w:val="00BF0C22"/>
    <w:rsid w:val="00C13A4F"/>
    <w:rsid w:val="00C26A8D"/>
    <w:rsid w:val="00C5135E"/>
    <w:rsid w:val="00C735DE"/>
    <w:rsid w:val="00CA08B2"/>
    <w:rsid w:val="00CA44EC"/>
    <w:rsid w:val="00CA7176"/>
    <w:rsid w:val="00CB1CB7"/>
    <w:rsid w:val="00CB2A40"/>
    <w:rsid w:val="00CC75B0"/>
    <w:rsid w:val="00CD2773"/>
    <w:rsid w:val="00CE143B"/>
    <w:rsid w:val="00CE370E"/>
    <w:rsid w:val="00CE380F"/>
    <w:rsid w:val="00D27003"/>
    <w:rsid w:val="00D33AA2"/>
    <w:rsid w:val="00D52A41"/>
    <w:rsid w:val="00D643F8"/>
    <w:rsid w:val="00D92DBA"/>
    <w:rsid w:val="00D92E40"/>
    <w:rsid w:val="00D975B5"/>
    <w:rsid w:val="00DD32DF"/>
    <w:rsid w:val="00DE60A3"/>
    <w:rsid w:val="00E03ED3"/>
    <w:rsid w:val="00E167C7"/>
    <w:rsid w:val="00E177E8"/>
    <w:rsid w:val="00E44F02"/>
    <w:rsid w:val="00E53724"/>
    <w:rsid w:val="00E60B3B"/>
    <w:rsid w:val="00E75DEC"/>
    <w:rsid w:val="00E8404B"/>
    <w:rsid w:val="00E93430"/>
    <w:rsid w:val="00EC47F6"/>
    <w:rsid w:val="00EC4F2D"/>
    <w:rsid w:val="00EE79CC"/>
    <w:rsid w:val="00F050C6"/>
    <w:rsid w:val="00F10904"/>
    <w:rsid w:val="00F17BC1"/>
    <w:rsid w:val="00F376AB"/>
    <w:rsid w:val="00F411B5"/>
    <w:rsid w:val="00F41E83"/>
    <w:rsid w:val="00F641BA"/>
    <w:rsid w:val="00F66032"/>
    <w:rsid w:val="00F87C1E"/>
    <w:rsid w:val="00F900E9"/>
    <w:rsid w:val="00F958C2"/>
    <w:rsid w:val="00F978B2"/>
    <w:rsid w:val="00FB6467"/>
    <w:rsid w:val="00FC6144"/>
    <w:rsid w:val="00FD399F"/>
    <w:rsid w:val="00FE04CD"/>
    <w:rsid w:val="00FF4634"/>
    <w:rsid w:val="051C39BA"/>
    <w:rsid w:val="063A5FD5"/>
    <w:rsid w:val="089A16DB"/>
    <w:rsid w:val="11D47F7D"/>
    <w:rsid w:val="12CE77F0"/>
    <w:rsid w:val="12F96A3E"/>
    <w:rsid w:val="136D22FF"/>
    <w:rsid w:val="153A51E3"/>
    <w:rsid w:val="15AE0CCD"/>
    <w:rsid w:val="17E05999"/>
    <w:rsid w:val="1C8B63DD"/>
    <w:rsid w:val="1DDF02F6"/>
    <w:rsid w:val="1E114C7B"/>
    <w:rsid w:val="252E792E"/>
    <w:rsid w:val="27F62D5C"/>
    <w:rsid w:val="281F62F2"/>
    <w:rsid w:val="2B1B529A"/>
    <w:rsid w:val="2BBF2468"/>
    <w:rsid w:val="2BE54E6D"/>
    <w:rsid w:val="2DBC1BCD"/>
    <w:rsid w:val="2F405073"/>
    <w:rsid w:val="346F24E2"/>
    <w:rsid w:val="34771011"/>
    <w:rsid w:val="371D0049"/>
    <w:rsid w:val="3FA55EEB"/>
    <w:rsid w:val="416D0796"/>
    <w:rsid w:val="41B56D40"/>
    <w:rsid w:val="41B91EDE"/>
    <w:rsid w:val="42BA6A45"/>
    <w:rsid w:val="44006482"/>
    <w:rsid w:val="47F65CB1"/>
    <w:rsid w:val="499811B3"/>
    <w:rsid w:val="4A4E2563"/>
    <w:rsid w:val="4A880414"/>
    <w:rsid w:val="4CE41550"/>
    <w:rsid w:val="4D345107"/>
    <w:rsid w:val="4DCD35CC"/>
    <w:rsid w:val="4E4405CE"/>
    <w:rsid w:val="4FCC1150"/>
    <w:rsid w:val="529A7EA5"/>
    <w:rsid w:val="53BB20CC"/>
    <w:rsid w:val="54FE6C6C"/>
    <w:rsid w:val="57212025"/>
    <w:rsid w:val="57FD1E32"/>
    <w:rsid w:val="5A254F2F"/>
    <w:rsid w:val="676E09ED"/>
    <w:rsid w:val="6A9801AD"/>
    <w:rsid w:val="6AE445F0"/>
    <w:rsid w:val="6E031E90"/>
    <w:rsid w:val="72975DC5"/>
    <w:rsid w:val="72CF4BEB"/>
    <w:rsid w:val="731D287F"/>
    <w:rsid w:val="75DC70F5"/>
    <w:rsid w:val="7C3E607B"/>
    <w:rsid w:val="7F236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paragraph" w:styleId="7">
    <w:name w:val="Normal (Web)"/>
    <w:basedOn w:val="1"/>
    <w:semiHidden/>
    <w:unhideWhenUsed/>
    <w:qFormat/>
    <w:uiPriority w:val="99"/>
    <w:rPr>
      <w:sz w:val="24"/>
    </w:r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正文文本 + 粗体"/>
    <w:basedOn w:val="9"/>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B80BD-6AD8-41E0-9AD5-55DCDF378B0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639</Words>
  <Characters>3646</Characters>
  <Lines>30</Lines>
  <Paragraphs>8</Paragraphs>
  <TotalTime>0</TotalTime>
  <ScaleCrop>false</ScaleCrop>
  <LinksUpToDate>false</LinksUpToDate>
  <CharactersWithSpaces>4277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心升明月</cp:lastModifiedBy>
  <cp:lastPrinted>2017-11-09T01:12:00Z</cp:lastPrinted>
  <dcterms:modified xsi:type="dcterms:W3CDTF">2021-03-12T05:11:04Z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