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_GBK" w:eastAsia="方正小标宋_GBK"/>
          <w:color w:val="000000" w:themeColor="text1"/>
          <w:sz w:val="44"/>
          <w:szCs w:val="44"/>
        </w:rPr>
      </w:pPr>
      <w:r>
        <w:rPr>
          <w:rFonts w:hint="eastAsia" w:ascii="方正小标宋_GBK" w:eastAsia="方正小标宋_GBK"/>
          <w:color w:val="000000" w:themeColor="text1"/>
          <w:sz w:val="44"/>
          <w:szCs w:val="44"/>
        </w:rPr>
        <w:t>丰宁县发展和改革局权责清单</w:t>
      </w:r>
      <w:bookmarkStart w:id="0" w:name="_GoBack"/>
      <w:bookmarkEnd w:id="0"/>
    </w:p>
    <w:p>
      <w:pPr>
        <w:rPr>
          <w:color w:val="000000" w:themeColor="text1"/>
        </w:rPr>
      </w:pPr>
    </w:p>
    <w:tbl>
      <w:tblPr>
        <w:tblStyle w:val="5"/>
        <w:tblW w:w="143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1066"/>
        <w:gridCol w:w="782"/>
        <w:gridCol w:w="3260"/>
        <w:gridCol w:w="3827"/>
        <w:gridCol w:w="3260"/>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jc w:val="center"/>
              <w:rPr>
                <w:rFonts w:ascii="黑体" w:hAnsi="黑体" w:eastAsia="黑体"/>
                <w:color w:val="000000" w:themeColor="text1"/>
              </w:rPr>
            </w:pPr>
            <w:r>
              <w:rPr>
                <w:rFonts w:hint="eastAsia" w:ascii="黑体" w:hAnsi="黑体" w:eastAsia="黑体"/>
                <w:color w:val="000000" w:themeColor="text1"/>
              </w:rPr>
              <w:t>序号</w:t>
            </w:r>
          </w:p>
        </w:tc>
        <w:tc>
          <w:tcPr>
            <w:tcW w:w="709" w:type="dxa"/>
            <w:vAlign w:val="center"/>
          </w:tcPr>
          <w:p>
            <w:pPr>
              <w:jc w:val="center"/>
              <w:rPr>
                <w:rFonts w:ascii="黑体" w:hAnsi="黑体" w:eastAsia="黑体"/>
                <w:color w:val="000000" w:themeColor="text1"/>
              </w:rPr>
            </w:pPr>
            <w:r>
              <w:rPr>
                <w:rFonts w:hint="eastAsia" w:ascii="黑体" w:hAnsi="黑体" w:eastAsia="黑体"/>
                <w:color w:val="000000" w:themeColor="text1"/>
              </w:rPr>
              <w:t>权利类型</w:t>
            </w:r>
          </w:p>
        </w:tc>
        <w:tc>
          <w:tcPr>
            <w:tcW w:w="1066" w:type="dxa"/>
            <w:vAlign w:val="center"/>
          </w:tcPr>
          <w:p>
            <w:pPr>
              <w:jc w:val="center"/>
              <w:rPr>
                <w:rFonts w:ascii="黑体" w:hAnsi="黑体" w:eastAsia="黑体"/>
                <w:color w:val="000000" w:themeColor="text1"/>
              </w:rPr>
            </w:pPr>
            <w:r>
              <w:rPr>
                <w:rFonts w:hint="eastAsia" w:ascii="黑体" w:hAnsi="黑体" w:eastAsia="黑体"/>
                <w:color w:val="000000" w:themeColor="text1"/>
              </w:rPr>
              <w:t>权力</w:t>
            </w:r>
          </w:p>
          <w:p>
            <w:pPr>
              <w:jc w:val="center"/>
              <w:rPr>
                <w:rFonts w:ascii="黑体" w:hAnsi="黑体" w:eastAsia="黑体"/>
                <w:color w:val="000000" w:themeColor="text1"/>
              </w:rPr>
            </w:pPr>
            <w:r>
              <w:rPr>
                <w:rFonts w:hint="eastAsia" w:ascii="黑体" w:hAnsi="黑体" w:eastAsia="黑体"/>
                <w:color w:val="000000" w:themeColor="text1"/>
              </w:rPr>
              <w:t>事项</w:t>
            </w:r>
          </w:p>
        </w:tc>
        <w:tc>
          <w:tcPr>
            <w:tcW w:w="782" w:type="dxa"/>
            <w:vAlign w:val="center"/>
          </w:tcPr>
          <w:p>
            <w:pPr>
              <w:jc w:val="center"/>
              <w:rPr>
                <w:rFonts w:ascii="黑体" w:hAnsi="黑体" w:eastAsia="黑体"/>
                <w:color w:val="000000" w:themeColor="text1"/>
              </w:rPr>
            </w:pPr>
            <w:r>
              <w:rPr>
                <w:rFonts w:hint="eastAsia" w:ascii="黑体" w:hAnsi="黑体" w:eastAsia="黑体"/>
                <w:color w:val="000000" w:themeColor="text1"/>
              </w:rPr>
              <w:t>行政主体</w:t>
            </w:r>
          </w:p>
        </w:tc>
        <w:tc>
          <w:tcPr>
            <w:tcW w:w="3260" w:type="dxa"/>
            <w:vAlign w:val="center"/>
          </w:tcPr>
          <w:p>
            <w:pPr>
              <w:jc w:val="center"/>
              <w:rPr>
                <w:rFonts w:ascii="黑体" w:hAnsi="黑体" w:eastAsia="黑体"/>
                <w:color w:val="000000" w:themeColor="text1"/>
              </w:rPr>
            </w:pPr>
            <w:r>
              <w:rPr>
                <w:rFonts w:hint="eastAsia" w:ascii="黑体" w:hAnsi="黑体" w:eastAsia="黑体"/>
                <w:color w:val="000000" w:themeColor="text1"/>
              </w:rPr>
              <w:t>实施依据</w:t>
            </w:r>
          </w:p>
        </w:tc>
        <w:tc>
          <w:tcPr>
            <w:tcW w:w="3827" w:type="dxa"/>
            <w:vAlign w:val="center"/>
          </w:tcPr>
          <w:p>
            <w:pPr>
              <w:jc w:val="center"/>
              <w:rPr>
                <w:rFonts w:ascii="黑体" w:hAnsi="黑体" w:eastAsia="黑体"/>
                <w:color w:val="000000" w:themeColor="text1"/>
              </w:rPr>
            </w:pPr>
            <w:r>
              <w:rPr>
                <w:rFonts w:hint="eastAsia" w:ascii="黑体" w:hAnsi="黑体" w:eastAsia="黑体"/>
                <w:color w:val="000000" w:themeColor="text1"/>
              </w:rPr>
              <w:t>责任事项</w:t>
            </w:r>
          </w:p>
        </w:tc>
        <w:tc>
          <w:tcPr>
            <w:tcW w:w="3260" w:type="dxa"/>
            <w:vAlign w:val="center"/>
          </w:tcPr>
          <w:p>
            <w:pPr>
              <w:jc w:val="center"/>
              <w:rPr>
                <w:rFonts w:ascii="黑体" w:hAnsi="黑体" w:eastAsia="黑体"/>
                <w:color w:val="000000" w:themeColor="text1"/>
              </w:rPr>
            </w:pPr>
            <w:r>
              <w:rPr>
                <w:rFonts w:hint="eastAsia" w:ascii="黑体" w:hAnsi="黑体" w:eastAsia="黑体"/>
                <w:color w:val="000000" w:themeColor="text1"/>
              </w:rPr>
              <w:t>追责情形</w:t>
            </w:r>
          </w:p>
        </w:tc>
        <w:tc>
          <w:tcPr>
            <w:tcW w:w="709" w:type="dxa"/>
            <w:vAlign w:val="center"/>
          </w:tcPr>
          <w:p>
            <w:pPr>
              <w:jc w:val="center"/>
              <w:rPr>
                <w:rFonts w:ascii="黑体" w:hAnsi="黑体" w:eastAsia="黑体"/>
                <w:color w:val="000000" w:themeColor="text1"/>
              </w:rPr>
            </w:pPr>
            <w:r>
              <w:rPr>
                <w:rFonts w:hint="eastAsia" w:ascii="黑体" w:hAnsi="黑体" w:eastAsia="黑体"/>
                <w:color w:val="000000" w:themeColor="text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行政处罚</w:t>
            </w:r>
          </w:p>
        </w:tc>
        <w:tc>
          <w:tcPr>
            <w:tcW w:w="1066" w:type="dxa"/>
            <w:tcBorders>
              <w:top w:val="single" w:color="000000" w:sz="4" w:space="0"/>
              <w:bottom w:val="single" w:color="000000" w:sz="4" w:space="0"/>
              <w:right w:val="single" w:color="000000" w:sz="4" w:space="0"/>
            </w:tcBorders>
            <w:vAlign w:val="center"/>
          </w:tcPr>
          <w:p>
            <w:pPr>
              <w:shd w:val="clear" w:color="auto" w:fill="FFFFFF"/>
              <w:tabs>
                <w:tab w:val="left" w:pos="7937"/>
              </w:tabs>
              <w:autoSpaceDN w:val="0"/>
              <w:spacing w:line="280" w:lineRule="exact"/>
              <w:jc w:val="left"/>
              <w:textAlignment w:val="center"/>
              <w:rPr>
                <w:rFonts w:ascii="宋体" w:hAnsi="宋体" w:eastAsia="宋体"/>
                <w:color w:val="000000" w:themeColor="text1"/>
                <w:sz w:val="18"/>
                <w:szCs w:val="18"/>
              </w:rPr>
            </w:pPr>
            <w:r>
              <w:rPr>
                <w:rFonts w:hint="eastAsia" w:ascii="宋体" w:hAnsi="宋体" w:eastAsia="宋体"/>
                <w:color w:val="000000" w:themeColor="text1"/>
                <w:sz w:val="18"/>
                <w:szCs w:val="18"/>
              </w:rPr>
              <w:t>对危害电力设施、违法供（转供）电、违法使用国家明令禁止的电力设备技术、危害供用电安全及盗窃电能的处罚</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1.《中华人民共和国电力法》第六十二条“违反本法第十四条规定，电力建设项目不符合电力发展规划、产业政策的，由电力管理部门责令停止建设。违反本法第十四条规定，电力建设项目使用国家明令淘汰的电力设备和技术的，由电力管理部门责令停止使用，没收国家明令淘汰的电力设备，并处五万元以下的罚款。”、六十三条“违反本法第二十五条规定，未经许可，从事供电或者变更供电营业区的，由电力管理部门责令改正，没收违法所得，可以并处违法所得五倍以下的罚款。”、六十五条“违反本法第三十二条规定，危害供电、用电安全或者扰乱供电、用电秩序的，由电力管理部门责令改正，给予警告；情节严重或者拒绝改正的，可以中止供电，可以并处五万元以下的罚款。”、七十一条“盗窃电能的，由电力管理部门责令停止违法行为，追缴电费并处应交电费五倍以下的罚款；构成犯罪的，依照刑法有关规定追究刑事责任。”</w:t>
            </w: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2.《电力供应与使用条例》第三十八条“</w:t>
            </w:r>
            <w:r>
              <w:rPr>
                <w:rFonts w:hint="eastAsia" w:asciiTheme="minorEastAsia" w:hAnsiTheme="minorEastAsia" w:eastAsiaTheme="minorEastAsia" w:cstheme="minorEastAsia"/>
                <w:color w:val="000000" w:themeColor="text1"/>
                <w:sz w:val="18"/>
                <w:szCs w:val="18"/>
                <w:shd w:val="clear" w:color="auto" w:fill="FFFFFF"/>
              </w:rPr>
              <w:t>违反本条例规定，有下列行为之一的，由电力管理部门责令改正，没收违法所得，可以并处违法所得5倍以下的罚款：（一）未按照规定取得《电力业务许可证》，从事电力供应业务的；（二）擅自伸入或者跨越供电营业区供电的；（三）擅自向外转供电的。</w:t>
            </w:r>
            <w:r>
              <w:rPr>
                <w:rFonts w:hint="eastAsia" w:asciiTheme="minorEastAsia" w:hAnsiTheme="minorEastAsia" w:eastAsiaTheme="minorEastAsia" w:cstheme="minorEastAsia"/>
                <w:color w:val="000000" w:themeColor="text1"/>
                <w:sz w:val="18"/>
                <w:szCs w:val="18"/>
              </w:rPr>
              <w:t>”</w:t>
            </w:r>
          </w:p>
          <w:p>
            <w:pPr>
              <w:tabs>
                <w:tab w:val="left" w:pos="7937"/>
              </w:tabs>
              <w:spacing w:line="280" w:lineRule="exact"/>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3.《电力设施保护条例》第二十七条“</w:t>
            </w:r>
            <w:r>
              <w:rPr>
                <w:rFonts w:hint="eastAsia" w:asciiTheme="minorEastAsia" w:hAnsiTheme="minorEastAsia" w:eastAsiaTheme="minorEastAsia" w:cstheme="minorEastAsia"/>
                <w:color w:val="000000" w:themeColor="text1"/>
                <w:sz w:val="18"/>
                <w:szCs w:val="18"/>
                <w:shd w:val="clear" w:color="auto" w:fill="FFFFFF"/>
              </w:rPr>
              <w:t>违反本条例规定，危害发电设施、变电设施和电力线路设施的，由电力管理部门责令改正;拒不改正的，处1万元以下的罚款。</w:t>
            </w:r>
            <w:r>
              <w:rPr>
                <w:rFonts w:hint="eastAsia" w:asciiTheme="minorEastAsia" w:hAnsiTheme="minorEastAsia" w:eastAsiaTheme="minorEastAsia" w:cstheme="minorEastAsia"/>
                <w:color w:val="000000" w:themeColor="text1"/>
                <w:sz w:val="18"/>
                <w:szCs w:val="18"/>
              </w:rPr>
              <w:t>”</w:t>
            </w:r>
          </w:p>
          <w:p>
            <w:pPr>
              <w:tabs>
                <w:tab w:val="left" w:pos="7937"/>
              </w:tabs>
              <w:spacing w:line="280" w:lineRule="exact"/>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4.《供电营业区划分及管理办法》（电力工业部令第5号）第24条“</w:t>
            </w:r>
            <w:r>
              <w:rPr>
                <w:rFonts w:hint="eastAsia" w:asciiTheme="minorEastAsia" w:hAnsiTheme="minorEastAsia" w:eastAsiaTheme="minorEastAsia" w:cstheme="minorEastAsia"/>
                <w:color w:val="000000" w:themeColor="text1"/>
                <w:sz w:val="18"/>
                <w:szCs w:val="18"/>
                <w:shd w:val="clear" w:color="auto" w:fill="FFFFFF"/>
              </w:rPr>
              <w:t>未经许可，从事电力供应与销售业务或者擅自变更供电营业区的，由省级以上电力管理部门按照《电力法》第六十三条处理。</w:t>
            </w:r>
            <w:r>
              <w:rPr>
                <w:rFonts w:hint="eastAsia" w:asciiTheme="minorEastAsia" w:hAnsiTheme="minorEastAsia" w:eastAsiaTheme="minorEastAsia" w:cstheme="minorEastAsia"/>
                <w:color w:val="000000" w:themeColor="text1"/>
                <w:sz w:val="18"/>
                <w:szCs w:val="18"/>
              </w:rPr>
              <w:t>”</w:t>
            </w: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1.立案责任：发现</w:t>
            </w:r>
            <w:r>
              <w:rPr>
                <w:rFonts w:hint="eastAsia" w:ascii="宋体" w:hAnsi="宋体" w:eastAsia="宋体"/>
                <w:color w:val="000000" w:themeColor="text1"/>
                <w:sz w:val="18"/>
                <w:szCs w:val="18"/>
              </w:rPr>
              <w:t>危害电力设施、违法供（转供）电、违法使用国家明令禁止的电力设备技术、危害供用电安全及盗窃电能等</w:t>
            </w:r>
            <w:r>
              <w:rPr>
                <w:rFonts w:ascii="宋体" w:hAnsi="宋体" w:eastAsia="宋体"/>
                <w:color w:val="000000" w:themeColor="text1"/>
                <w:sz w:val="18"/>
                <w:szCs w:val="18"/>
              </w:rPr>
              <w:t>违法行为，予以审查，决定是否立案。</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2.调查责任：指定专人负责，及时组织调查取证，与当事人有直接利害关系的应当回避。执法人员不得少于两人，调查时应出示执法证件，允许当事人辩解陈述。执法人员应保守有关秘密。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5.决定责任：制作行政处罚决定书，载明行政处罚告知、当事人陈述申辩或者听证情况等内容。</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6.送达责任：行政处罚决定书按法律规定的方式送达当事人。</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7.执行责任：依照生效的行政处罚决定</w:t>
            </w:r>
            <w:r>
              <w:rPr>
                <w:rFonts w:hint="eastAsia" w:ascii="宋体" w:hAnsi="宋体" w:eastAsia="宋体"/>
                <w:color w:val="000000" w:themeColor="text1"/>
                <w:sz w:val="18"/>
                <w:szCs w:val="18"/>
              </w:rPr>
              <w:t>予以处罚</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8.其他法律法规规章文件规定应履行的责任。</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1.没有</w:t>
            </w:r>
            <w:r>
              <w:rPr>
                <w:rFonts w:ascii="宋体" w:hAnsi="宋体" w:eastAsia="宋体"/>
                <w:color w:val="000000" w:themeColor="text1"/>
                <w:sz w:val="18"/>
                <w:szCs w:val="18"/>
              </w:rPr>
              <w:t>法定的行政处罚依据的；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擅自改变行政处罚种类、幅度的；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违反法定的行政处罚程序的；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4.违反</w:t>
            </w:r>
            <w:r>
              <w:rPr>
                <w:rFonts w:ascii="宋体" w:hAnsi="宋体" w:eastAsia="宋体"/>
                <w:color w:val="000000" w:themeColor="text1"/>
                <w:sz w:val="18"/>
                <w:szCs w:val="18"/>
              </w:rPr>
              <w:t>委托处罚规定的；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5</w:t>
            </w:r>
            <w:r>
              <w:rPr>
                <w:rFonts w:ascii="宋体" w:hAnsi="宋体" w:eastAsia="宋体"/>
                <w:color w:val="000000" w:themeColor="text1"/>
                <w:sz w:val="18"/>
                <w:szCs w:val="18"/>
              </w:rPr>
              <w:t>.</w:t>
            </w:r>
            <w:r>
              <w:rPr>
                <w:rFonts w:hint="eastAsia" w:ascii="宋体" w:hAnsi="宋体" w:eastAsia="宋体"/>
                <w:color w:val="000000" w:themeColor="text1"/>
                <w:sz w:val="18"/>
                <w:szCs w:val="18"/>
              </w:rPr>
              <w:t>处罚</w:t>
            </w:r>
            <w:r>
              <w:rPr>
                <w:rFonts w:ascii="宋体" w:hAnsi="宋体" w:eastAsia="宋体"/>
                <w:color w:val="000000" w:themeColor="text1"/>
                <w:sz w:val="18"/>
                <w:szCs w:val="18"/>
              </w:rPr>
              <w:t>使用非法单据的；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6</w:t>
            </w:r>
            <w:r>
              <w:rPr>
                <w:rFonts w:ascii="宋体" w:hAnsi="宋体" w:eastAsia="宋体"/>
                <w:color w:val="000000" w:themeColor="text1"/>
                <w:sz w:val="18"/>
                <w:szCs w:val="18"/>
              </w:rPr>
              <w:t>.</w:t>
            </w:r>
            <w:r>
              <w:rPr>
                <w:rFonts w:hint="eastAsia" w:ascii="宋体" w:hAnsi="宋体" w:eastAsia="宋体"/>
                <w:color w:val="000000" w:themeColor="text1"/>
                <w:sz w:val="18"/>
                <w:szCs w:val="18"/>
              </w:rPr>
              <w:t>自行收缴罚款的</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7</w:t>
            </w:r>
            <w:r>
              <w:rPr>
                <w:rFonts w:ascii="宋体" w:hAnsi="宋体" w:eastAsia="宋体"/>
                <w:color w:val="000000" w:themeColor="text1"/>
                <w:sz w:val="18"/>
                <w:szCs w:val="18"/>
              </w:rPr>
              <w:t>.</w:t>
            </w:r>
            <w:r>
              <w:rPr>
                <w:rFonts w:hint="eastAsia" w:ascii="宋体" w:hAnsi="宋体" w:eastAsia="宋体"/>
                <w:color w:val="000000" w:themeColor="text1"/>
                <w:sz w:val="18"/>
                <w:szCs w:val="18"/>
              </w:rPr>
              <w:t>将罚款、没收的违法所得或者财物截留、私分或者变相私分的；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w:t>
            </w:r>
            <w:r>
              <w:rPr>
                <w:rFonts w:hint="eastAsia" w:ascii="宋体" w:hAnsi="宋体" w:eastAsia="宋体"/>
                <w:color w:val="000000" w:themeColor="text1"/>
                <w:sz w:val="18"/>
                <w:szCs w:val="18"/>
              </w:rPr>
              <w:t>索取或者收受他人财物、收缴罚款据为己有的；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9.</w:t>
            </w:r>
            <w:r>
              <w:rPr>
                <w:rFonts w:hint="eastAsia" w:ascii="宋体" w:hAnsi="宋体" w:eastAsia="宋体"/>
                <w:color w:val="000000" w:themeColor="text1"/>
                <w:sz w:val="18"/>
                <w:szCs w:val="18"/>
              </w:rPr>
              <w:t>使用或者损毁扣押的财物，对当事人造成损失的；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10.</w:t>
            </w:r>
            <w:r>
              <w:rPr>
                <w:rFonts w:hint="eastAsia" w:ascii="宋体" w:hAnsi="宋体" w:eastAsia="宋体"/>
                <w:color w:val="000000" w:themeColor="text1"/>
                <w:sz w:val="18"/>
                <w:szCs w:val="18"/>
              </w:rPr>
              <w:t>违法实行检查措施或者执行措施，给公民人身或者财产造成损害、给法人或者其他组织造成损失的；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w:t>
            </w:r>
            <w:r>
              <w:rPr>
                <w:rFonts w:ascii="宋体" w:hAnsi="宋体" w:eastAsia="宋体"/>
                <w:color w:val="000000" w:themeColor="text1"/>
                <w:sz w:val="18"/>
                <w:szCs w:val="18"/>
              </w:rPr>
              <w:t>1.</w:t>
            </w:r>
            <w:r>
              <w:rPr>
                <w:rFonts w:hint="eastAsia" w:ascii="宋体" w:hAnsi="宋体" w:eastAsia="宋体"/>
                <w:color w:val="000000" w:themeColor="text1"/>
                <w:sz w:val="18"/>
                <w:szCs w:val="18"/>
              </w:rPr>
              <w:t>对应当依法移交司法机关追究刑事责任的不移交，以行政处罚代替刑罚，徇私舞弊、包庇纵容违法行为的；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12.</w:t>
            </w:r>
            <w:r>
              <w:rPr>
                <w:rFonts w:hint="eastAsia" w:ascii="宋体" w:hAnsi="宋体" w:eastAsia="宋体"/>
                <w:color w:val="000000" w:themeColor="text1"/>
                <w:sz w:val="18"/>
                <w:szCs w:val="18"/>
              </w:rPr>
              <w:t>玩忽职守，对应当予以制止和处罚的违法行为不予制止、处罚，致使公民、法人或者其他组织的合法权益、公共利益和社会秩序遭受损害的。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trPr>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2</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行政处罚</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对违法新建、改建、扩建水泥生产建设项目或使用袋装水泥在施工现场搅拌混凝土、砂浆的处罚</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Theme="minorEastAsia" w:hAnsiTheme="minorEastAsia" w:eastAsiaTheme="minorEastAsia" w:cstheme="minorEastAsia"/>
                <w:color w:val="000000" w:themeColor="text1"/>
                <w:sz w:val="18"/>
                <w:szCs w:val="18"/>
              </w:rPr>
              <w:t>《河北省促进散装水泥发展条例》第三十一条“</w:t>
            </w:r>
            <w:r>
              <w:rPr>
                <w:rFonts w:hint="eastAsia" w:asciiTheme="minorEastAsia" w:hAnsiTheme="minorEastAsia" w:eastAsiaTheme="minorEastAsia" w:cstheme="minorEastAsia"/>
                <w:color w:val="000000" w:themeColor="text1"/>
                <w:sz w:val="18"/>
                <w:szCs w:val="18"/>
                <w:shd w:val="clear" w:color="auto" w:fill="FFFFFF"/>
              </w:rPr>
              <w:t>违反本条例规定，新建、改建、扩建水泥生产建设项目未按照散装水泥发放能力不低于百分之九十的标准进行设计和同步建设的，由县级以上人民政府散装水泥行政主管部门予以警告，责令限期改正。</w:t>
            </w:r>
            <w:r>
              <w:rPr>
                <w:rFonts w:hint="eastAsia" w:asciiTheme="minorEastAsia" w:hAnsiTheme="minorEastAsia" w:eastAsiaTheme="minorEastAsia" w:cstheme="minorEastAsia"/>
                <w:color w:val="000000" w:themeColor="text1"/>
                <w:sz w:val="18"/>
                <w:szCs w:val="18"/>
              </w:rPr>
              <w:t>”、第三十二条“</w:t>
            </w:r>
            <w:r>
              <w:rPr>
                <w:rFonts w:hint="eastAsia" w:asciiTheme="minorEastAsia" w:hAnsiTheme="minorEastAsia" w:eastAsiaTheme="minorEastAsia" w:cstheme="minorEastAsia"/>
                <w:color w:val="000000" w:themeColor="text1"/>
                <w:sz w:val="18"/>
                <w:szCs w:val="18"/>
                <w:shd w:val="clear" w:color="auto" w:fill="FFFFFF"/>
              </w:rPr>
              <w:t>违反本条例规定，使用袋装水泥在施工现场搅拌混凝土和砂浆的，由县级以上人民政府散装水泥行政主管部门予以警告，责令限期改正;逾期不改正的，处以每吨三百元以上五百元以下罚款。</w:t>
            </w:r>
            <w:r>
              <w:rPr>
                <w:rFonts w:hint="eastAsia" w:asciiTheme="minorEastAsia" w:hAnsiTheme="minorEastAsia" w:eastAsiaTheme="minorEastAsia" w:cstheme="minorEastAsia"/>
                <w:color w:val="000000" w:themeColor="text1"/>
                <w:sz w:val="18"/>
                <w:szCs w:val="18"/>
              </w:rPr>
              <w:t>”</w:t>
            </w: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1.立案责任：发现</w:t>
            </w:r>
            <w:r>
              <w:rPr>
                <w:rFonts w:hint="eastAsia" w:ascii="宋体" w:hAnsi="宋体" w:eastAsia="宋体"/>
                <w:color w:val="000000" w:themeColor="text1"/>
                <w:sz w:val="18"/>
                <w:szCs w:val="18"/>
              </w:rPr>
              <w:t>散装水泥生产、项目建设</w:t>
            </w:r>
            <w:r>
              <w:rPr>
                <w:rFonts w:ascii="宋体" w:hAnsi="宋体" w:eastAsia="宋体"/>
                <w:color w:val="000000" w:themeColor="text1"/>
                <w:sz w:val="18"/>
                <w:szCs w:val="18"/>
              </w:rPr>
              <w:t>违法行为，予以审查，决定是否立案。</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2.调查责任：指定专人负责，及时组织调查取证，与当事人有直接利害关系的应当回避。执法人员不得少于两人，调查时应出示执法证件，允许当事人辩解陈述。执法人员应保守有关秘密。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5.决定责任：制作行政处罚决定书，载明行政处罚告知、当事人陈述申辩或者听证情况等内容。</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6.送达责任：行政处罚决定书按法律规定的方式送达当事人。</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7.执行责任：依照生效的行政处罚决定</w:t>
            </w:r>
            <w:r>
              <w:rPr>
                <w:rFonts w:hint="eastAsia" w:ascii="宋体" w:hAnsi="宋体" w:eastAsia="宋体"/>
                <w:color w:val="000000" w:themeColor="text1"/>
                <w:sz w:val="18"/>
                <w:szCs w:val="18"/>
              </w:rPr>
              <w:t>予以处罚</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8.其他法律法规规章文件规定应履行的责任。</w:t>
            </w:r>
          </w:p>
        </w:tc>
        <w:tc>
          <w:tcPr>
            <w:tcW w:w="3260"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1.没有</w:t>
            </w:r>
            <w:r>
              <w:rPr>
                <w:rFonts w:ascii="宋体" w:hAnsi="宋体" w:eastAsia="宋体"/>
                <w:color w:val="000000" w:themeColor="text1"/>
                <w:sz w:val="18"/>
                <w:szCs w:val="18"/>
              </w:rPr>
              <w:t>法定的行政处罚依据的；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擅自改变行政处罚种类、幅度的；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违反法定的行政处罚程序的；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4.违反</w:t>
            </w:r>
            <w:r>
              <w:rPr>
                <w:rFonts w:ascii="宋体" w:hAnsi="宋体" w:eastAsia="宋体"/>
                <w:color w:val="000000" w:themeColor="text1"/>
                <w:sz w:val="18"/>
                <w:szCs w:val="18"/>
              </w:rPr>
              <w:t>委托处罚规定的；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5</w:t>
            </w:r>
            <w:r>
              <w:rPr>
                <w:rFonts w:ascii="宋体" w:hAnsi="宋体" w:eastAsia="宋体"/>
                <w:color w:val="000000" w:themeColor="text1"/>
                <w:sz w:val="18"/>
                <w:szCs w:val="18"/>
              </w:rPr>
              <w:t>.</w:t>
            </w:r>
            <w:r>
              <w:rPr>
                <w:rFonts w:hint="eastAsia" w:ascii="宋体" w:hAnsi="宋体" w:eastAsia="宋体"/>
                <w:color w:val="000000" w:themeColor="text1"/>
                <w:sz w:val="18"/>
                <w:szCs w:val="18"/>
              </w:rPr>
              <w:t>处罚</w:t>
            </w:r>
            <w:r>
              <w:rPr>
                <w:rFonts w:ascii="宋体" w:hAnsi="宋体" w:eastAsia="宋体"/>
                <w:color w:val="000000" w:themeColor="text1"/>
                <w:sz w:val="18"/>
                <w:szCs w:val="18"/>
              </w:rPr>
              <w:t>使用非法单据的；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6</w:t>
            </w:r>
            <w:r>
              <w:rPr>
                <w:rFonts w:ascii="宋体" w:hAnsi="宋体" w:eastAsia="宋体"/>
                <w:color w:val="000000" w:themeColor="text1"/>
                <w:sz w:val="18"/>
                <w:szCs w:val="18"/>
              </w:rPr>
              <w:t>.</w:t>
            </w:r>
            <w:r>
              <w:rPr>
                <w:rFonts w:hint="eastAsia" w:ascii="宋体" w:hAnsi="宋体" w:eastAsia="宋体"/>
                <w:color w:val="000000" w:themeColor="text1"/>
                <w:sz w:val="18"/>
                <w:szCs w:val="18"/>
              </w:rPr>
              <w:t>自行收缴罚款的</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7</w:t>
            </w:r>
            <w:r>
              <w:rPr>
                <w:rFonts w:ascii="宋体" w:hAnsi="宋体" w:eastAsia="宋体"/>
                <w:color w:val="000000" w:themeColor="text1"/>
                <w:sz w:val="18"/>
                <w:szCs w:val="18"/>
              </w:rPr>
              <w:t>.</w:t>
            </w:r>
            <w:r>
              <w:rPr>
                <w:rFonts w:hint="eastAsia" w:ascii="宋体" w:hAnsi="宋体" w:eastAsia="宋体"/>
                <w:color w:val="000000" w:themeColor="text1"/>
                <w:sz w:val="18"/>
                <w:szCs w:val="18"/>
              </w:rPr>
              <w:t>将罚款、没收的违法所得或者财物截留、私分或者变相私分的；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w:t>
            </w:r>
            <w:r>
              <w:rPr>
                <w:rFonts w:hint="eastAsia" w:ascii="宋体" w:hAnsi="宋体" w:eastAsia="宋体"/>
                <w:color w:val="000000" w:themeColor="text1"/>
                <w:sz w:val="18"/>
                <w:szCs w:val="18"/>
              </w:rPr>
              <w:t>索取或者收受他人财物、收缴罚款据为己有的；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9.</w:t>
            </w:r>
            <w:r>
              <w:rPr>
                <w:rFonts w:hint="eastAsia" w:ascii="宋体" w:hAnsi="宋体" w:eastAsia="宋体"/>
                <w:color w:val="000000" w:themeColor="text1"/>
                <w:sz w:val="18"/>
                <w:szCs w:val="18"/>
              </w:rPr>
              <w:t>使用或者损毁扣押的财物，对当事人造成损失的；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10.</w:t>
            </w:r>
            <w:r>
              <w:rPr>
                <w:rFonts w:hint="eastAsia" w:ascii="宋体" w:hAnsi="宋体" w:eastAsia="宋体"/>
                <w:color w:val="000000" w:themeColor="text1"/>
                <w:sz w:val="18"/>
                <w:szCs w:val="18"/>
              </w:rPr>
              <w:t>违法实行检查措施或者执行措施，给公民人身或者财产造成损害、给法人或者其他组织造成损失的；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w:t>
            </w:r>
            <w:r>
              <w:rPr>
                <w:rFonts w:ascii="宋体" w:hAnsi="宋体" w:eastAsia="宋体"/>
                <w:color w:val="000000" w:themeColor="text1"/>
                <w:sz w:val="18"/>
                <w:szCs w:val="18"/>
              </w:rPr>
              <w:t>1.</w:t>
            </w:r>
            <w:r>
              <w:rPr>
                <w:rFonts w:hint="eastAsia" w:ascii="宋体" w:hAnsi="宋体" w:eastAsia="宋体"/>
                <w:color w:val="000000" w:themeColor="text1"/>
                <w:sz w:val="18"/>
                <w:szCs w:val="18"/>
              </w:rPr>
              <w:t>对应当依法移交司法机关追究刑事责任的不移交，以行政处罚代替刑罚，徇私舞弊、包庇纵容违法行为的；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12.</w:t>
            </w:r>
            <w:r>
              <w:rPr>
                <w:rFonts w:hint="eastAsia" w:ascii="宋体" w:hAnsi="宋体" w:eastAsia="宋体"/>
                <w:color w:val="000000" w:themeColor="text1"/>
                <w:sz w:val="18"/>
                <w:szCs w:val="18"/>
              </w:rPr>
              <w:t>玩忽职守，对应当予以制止和处罚的违法行为不予制止、处罚，致使公民、法人或者其他组织的合法权益、公共利益和社会秩序遭受损害的。</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3</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行政处罚</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对虚报、瞒报、拒报、</w:t>
            </w:r>
            <w:r>
              <w:rPr>
                <w:rFonts w:ascii="宋体" w:hAnsi="宋体" w:eastAsia="宋体"/>
                <w:color w:val="000000" w:themeColor="text1"/>
                <w:sz w:val="18"/>
                <w:szCs w:val="18"/>
              </w:rPr>
              <w:t>屡次迟报、</w:t>
            </w:r>
            <w:r>
              <w:rPr>
                <w:rFonts w:hint="eastAsia" w:ascii="宋体" w:hAnsi="宋体" w:eastAsia="宋体"/>
                <w:color w:val="000000" w:themeColor="text1"/>
                <w:sz w:val="18"/>
                <w:szCs w:val="18"/>
              </w:rPr>
              <w:t>伪造、篡改价格监测资料的处罚</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pStyle w:val="4"/>
              <w:widowControl/>
              <w:shd w:val="clear" w:color="auto" w:fill="FFFFFF"/>
              <w:spacing w:beforeAutospacing="0" w:after="225" w:afterAutospacing="0" w:line="360" w:lineRule="atLeast"/>
              <w:rPr>
                <w:rFonts w:asciiTheme="minorEastAsia" w:hAnsiTheme="minorEastAsia" w:eastAsiaTheme="minorEastAsia" w:cstheme="minorEastAsia"/>
                <w:color w:val="000000" w:themeColor="text1"/>
                <w:kern w:val="2"/>
                <w:sz w:val="18"/>
                <w:szCs w:val="18"/>
                <w:shd w:val="clear" w:color="auto" w:fill="FFFFFF"/>
              </w:rPr>
            </w:pPr>
          </w:p>
          <w:p>
            <w:pPr>
              <w:pStyle w:val="4"/>
              <w:widowControl/>
              <w:shd w:val="clear" w:color="auto" w:fill="FFFFFF"/>
              <w:spacing w:beforeAutospacing="0" w:after="225" w:afterAutospacing="0" w:line="360" w:lineRule="atLeast"/>
              <w:rPr>
                <w:rFonts w:asciiTheme="minorEastAsia" w:hAnsiTheme="minorEastAsia" w:eastAsiaTheme="minorEastAsia" w:cstheme="minorEastAsia"/>
                <w:color w:val="000000" w:themeColor="text1"/>
                <w:kern w:val="2"/>
                <w:sz w:val="18"/>
                <w:szCs w:val="18"/>
                <w:shd w:val="clear" w:color="auto" w:fill="FFFFFF"/>
              </w:rPr>
            </w:pPr>
          </w:p>
          <w:p>
            <w:pPr>
              <w:pStyle w:val="4"/>
              <w:widowControl/>
              <w:shd w:val="clear" w:color="auto" w:fill="FFFFFF"/>
              <w:spacing w:beforeAutospacing="0" w:after="225" w:afterAutospacing="0" w:line="360" w:lineRule="atLeast"/>
              <w:rPr>
                <w:rFonts w:ascii="宋体" w:hAnsi="宋体" w:eastAsia="宋体"/>
                <w:color w:val="000000" w:themeColor="text1"/>
                <w:sz w:val="18"/>
                <w:szCs w:val="18"/>
              </w:rPr>
            </w:pPr>
            <w:r>
              <w:rPr>
                <w:rFonts w:hint="eastAsia" w:asciiTheme="minorEastAsia" w:hAnsiTheme="minorEastAsia" w:eastAsiaTheme="minorEastAsia" w:cstheme="minorEastAsia"/>
                <w:color w:val="000000" w:themeColor="text1"/>
                <w:kern w:val="2"/>
                <w:sz w:val="18"/>
                <w:szCs w:val="18"/>
                <w:shd w:val="clear" w:color="auto" w:fill="FFFFFF"/>
              </w:rPr>
              <w:t>1.《价格监测规定》（2003年4月国家发展改革委令第1号）第十九条“价格监测定点单位有下列行为之一的，由下达监测任务的县级以上人民政府价格主管部门责令改正，予以通报批评;情节严重的，可建议任免机关或监察机关对负有直接责任的主管人员和其他责任人员予以行政处分。(一)虚报、瞒报价格监测资料的;(二)伪造、篡改价格监测资料的;(三)拒报或屡次迟报价格监测资料的。”</w:t>
            </w:r>
          </w:p>
          <w:p>
            <w:pPr>
              <w:pStyle w:val="4"/>
              <w:widowControl/>
              <w:shd w:val="clear" w:color="auto" w:fill="FFFFFF"/>
              <w:spacing w:beforeAutospacing="0" w:after="225" w:afterAutospacing="0" w:line="360" w:lineRule="atLeast"/>
              <w:rPr>
                <w:rFonts w:asciiTheme="minorEastAsia" w:hAnsiTheme="minorEastAsia" w:eastAsiaTheme="minorEastAsia" w:cstheme="minorEastAsia"/>
                <w:color w:val="000000" w:themeColor="text1"/>
                <w:kern w:val="2"/>
                <w:sz w:val="18"/>
                <w:szCs w:val="18"/>
                <w:shd w:val="clear" w:color="auto" w:fill="FFFFFF"/>
              </w:rPr>
            </w:pPr>
            <w:r>
              <w:rPr>
                <w:rFonts w:hint="eastAsia" w:asciiTheme="minorEastAsia" w:hAnsiTheme="minorEastAsia" w:eastAsiaTheme="minorEastAsia" w:cstheme="minorEastAsia"/>
                <w:color w:val="000000" w:themeColor="text1"/>
                <w:kern w:val="2"/>
                <w:sz w:val="18"/>
                <w:szCs w:val="18"/>
                <w:shd w:val="clear" w:color="auto" w:fill="FFFFFF"/>
              </w:rPr>
              <w:t>2.《河北省价格监测规定》河北省政府令2008第13号第二十五条“价格监测定点单位和临时定点单位迟报、虚报、瞒报、拒报或者伪造、篡改价格监测资料的，由县级以上人民政府价格主管部门责令改正；对虚报、瞒报、拒报或者伪造、篡改价格监测资料的，处一千元以下的罚款。”</w:t>
            </w:r>
          </w:p>
          <w:p>
            <w:pPr>
              <w:pStyle w:val="4"/>
              <w:widowControl/>
              <w:shd w:val="clear" w:color="auto" w:fill="FFFFFF"/>
              <w:spacing w:beforeAutospacing="0" w:after="225"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225" w:afterAutospacing="0" w:line="360" w:lineRule="atLeast"/>
              <w:rPr>
                <w:rFonts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1.立案责任：发现</w:t>
            </w:r>
            <w:r>
              <w:rPr>
                <w:rFonts w:hint="eastAsia" w:ascii="宋体" w:hAnsi="宋体" w:eastAsia="宋体"/>
                <w:color w:val="000000" w:themeColor="text1"/>
                <w:sz w:val="18"/>
                <w:szCs w:val="18"/>
              </w:rPr>
              <w:t>虚报、瞒报、拒报、</w:t>
            </w:r>
            <w:r>
              <w:rPr>
                <w:rFonts w:ascii="宋体" w:hAnsi="宋体" w:eastAsia="宋体"/>
                <w:color w:val="000000" w:themeColor="text1"/>
                <w:sz w:val="18"/>
                <w:szCs w:val="18"/>
              </w:rPr>
              <w:t>屡次迟报、</w:t>
            </w:r>
            <w:r>
              <w:rPr>
                <w:rFonts w:hint="eastAsia" w:ascii="宋体" w:hAnsi="宋体" w:eastAsia="宋体"/>
                <w:color w:val="000000" w:themeColor="text1"/>
                <w:sz w:val="18"/>
                <w:szCs w:val="18"/>
              </w:rPr>
              <w:t>伪造、篡改价格监测资料的</w:t>
            </w:r>
            <w:r>
              <w:rPr>
                <w:rFonts w:ascii="宋体" w:hAnsi="宋体" w:eastAsia="宋体"/>
                <w:color w:val="000000" w:themeColor="text1"/>
                <w:sz w:val="18"/>
                <w:szCs w:val="18"/>
              </w:rPr>
              <w:t>违法行为，予以审查，决定是否立案。</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2.调查责任：指定专人负责，及时组织调查取证，与当事人有直接利害关系的应当回避。执法人员不得少于两人，调查时应出示执法证件，允许当事人辩解陈述。执法人员应保守有关秘密。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5.决定责任：制作行政处罚决定书，载明行政处罚告知、当事人陈述申辩或者听证情况等内容。</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6.送达责任：行政处罚决定书按法律规定的方式送达当事人。</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7.执行责任：依照生效的行政处罚决定</w:t>
            </w:r>
            <w:r>
              <w:rPr>
                <w:rFonts w:hint="eastAsia" w:ascii="宋体" w:hAnsi="宋体" w:eastAsia="宋体"/>
                <w:color w:val="000000" w:themeColor="text1"/>
                <w:sz w:val="18"/>
                <w:szCs w:val="18"/>
              </w:rPr>
              <w:t>予以处罚</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8.其他法律法规规章文件规定应履行的责任。</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1.没有</w:t>
            </w:r>
            <w:r>
              <w:rPr>
                <w:rFonts w:ascii="宋体" w:hAnsi="宋体" w:eastAsia="宋体"/>
                <w:color w:val="000000" w:themeColor="text1"/>
                <w:sz w:val="18"/>
                <w:szCs w:val="18"/>
              </w:rPr>
              <w:t>法定的行政处罚依据的；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擅自改变行政处罚种类、幅度的；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违反法定的行政处罚程序的；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4.违反</w:t>
            </w:r>
            <w:r>
              <w:rPr>
                <w:rFonts w:ascii="宋体" w:hAnsi="宋体" w:eastAsia="宋体"/>
                <w:color w:val="000000" w:themeColor="text1"/>
                <w:sz w:val="18"/>
                <w:szCs w:val="18"/>
              </w:rPr>
              <w:t>委托处罚规定的；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5</w:t>
            </w:r>
            <w:r>
              <w:rPr>
                <w:rFonts w:ascii="宋体" w:hAnsi="宋体" w:eastAsia="宋体"/>
                <w:color w:val="000000" w:themeColor="text1"/>
                <w:sz w:val="18"/>
                <w:szCs w:val="18"/>
              </w:rPr>
              <w:t>.</w:t>
            </w:r>
            <w:r>
              <w:rPr>
                <w:rFonts w:hint="eastAsia" w:ascii="宋体" w:hAnsi="宋体" w:eastAsia="宋体"/>
                <w:color w:val="000000" w:themeColor="text1"/>
                <w:sz w:val="18"/>
                <w:szCs w:val="18"/>
              </w:rPr>
              <w:t>处罚</w:t>
            </w:r>
            <w:r>
              <w:rPr>
                <w:rFonts w:ascii="宋体" w:hAnsi="宋体" w:eastAsia="宋体"/>
                <w:color w:val="000000" w:themeColor="text1"/>
                <w:sz w:val="18"/>
                <w:szCs w:val="18"/>
              </w:rPr>
              <w:t>使用非法单据的；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6</w:t>
            </w:r>
            <w:r>
              <w:rPr>
                <w:rFonts w:ascii="宋体" w:hAnsi="宋体" w:eastAsia="宋体"/>
                <w:color w:val="000000" w:themeColor="text1"/>
                <w:sz w:val="18"/>
                <w:szCs w:val="18"/>
              </w:rPr>
              <w:t>.</w:t>
            </w:r>
            <w:r>
              <w:rPr>
                <w:rFonts w:hint="eastAsia" w:ascii="宋体" w:hAnsi="宋体" w:eastAsia="宋体"/>
                <w:color w:val="000000" w:themeColor="text1"/>
                <w:sz w:val="18"/>
                <w:szCs w:val="18"/>
              </w:rPr>
              <w:t>自行收缴罚款的</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7</w:t>
            </w:r>
            <w:r>
              <w:rPr>
                <w:rFonts w:ascii="宋体" w:hAnsi="宋体" w:eastAsia="宋体"/>
                <w:color w:val="000000" w:themeColor="text1"/>
                <w:sz w:val="18"/>
                <w:szCs w:val="18"/>
              </w:rPr>
              <w:t>.</w:t>
            </w:r>
            <w:r>
              <w:rPr>
                <w:rFonts w:hint="eastAsia" w:ascii="宋体" w:hAnsi="宋体" w:eastAsia="宋体"/>
                <w:color w:val="000000" w:themeColor="text1"/>
                <w:sz w:val="18"/>
                <w:szCs w:val="18"/>
              </w:rPr>
              <w:t>将罚款、没收的违法所得或者财物截留、私分或者变相私分的；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w:t>
            </w:r>
            <w:r>
              <w:rPr>
                <w:rFonts w:hint="eastAsia" w:ascii="宋体" w:hAnsi="宋体" w:eastAsia="宋体"/>
                <w:color w:val="000000" w:themeColor="text1"/>
                <w:sz w:val="18"/>
                <w:szCs w:val="18"/>
              </w:rPr>
              <w:t>索取或者收受他人财物、收缴罚款据为己有的；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9.</w:t>
            </w:r>
            <w:r>
              <w:rPr>
                <w:rFonts w:hint="eastAsia" w:ascii="宋体" w:hAnsi="宋体" w:eastAsia="宋体"/>
                <w:color w:val="000000" w:themeColor="text1"/>
                <w:sz w:val="18"/>
                <w:szCs w:val="18"/>
              </w:rPr>
              <w:t>使用或者损毁扣押的财物，对当事人造成损失的；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10.</w:t>
            </w:r>
            <w:r>
              <w:rPr>
                <w:rFonts w:hint="eastAsia" w:ascii="宋体" w:hAnsi="宋体" w:eastAsia="宋体"/>
                <w:color w:val="000000" w:themeColor="text1"/>
                <w:sz w:val="18"/>
                <w:szCs w:val="18"/>
              </w:rPr>
              <w:t>违法实行检查措施或者执行措施，给公民人身或者财产造成损害、给法人或者其他组织造成损失的；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w:t>
            </w:r>
            <w:r>
              <w:rPr>
                <w:rFonts w:ascii="宋体" w:hAnsi="宋体" w:eastAsia="宋体"/>
                <w:color w:val="000000" w:themeColor="text1"/>
                <w:sz w:val="18"/>
                <w:szCs w:val="18"/>
              </w:rPr>
              <w:t>1.</w:t>
            </w:r>
            <w:r>
              <w:rPr>
                <w:rFonts w:hint="eastAsia" w:ascii="宋体" w:hAnsi="宋体" w:eastAsia="宋体"/>
                <w:color w:val="000000" w:themeColor="text1"/>
                <w:sz w:val="18"/>
                <w:szCs w:val="18"/>
              </w:rPr>
              <w:t>对应当依法移交司法机关追究刑事责任的不移交，以行政处罚代替刑罚，徇私舞弊、包庇纵容违法行为的；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12.</w:t>
            </w:r>
            <w:r>
              <w:rPr>
                <w:rFonts w:hint="eastAsia" w:ascii="宋体" w:hAnsi="宋体" w:eastAsia="宋体"/>
                <w:color w:val="000000" w:themeColor="text1"/>
                <w:sz w:val="18"/>
                <w:szCs w:val="18"/>
              </w:rPr>
              <w:t>玩忽职守，对应当予以制止和处罚的违法行为不予制止、处罚，致使公民、法人或者其他组织的合法权益、公共利益和社会秩序遭受损害的。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4</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行政检查</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中央预算内投资补助和贴息资金项目实施情况监督检查</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Theme="minorEastAsia" w:hAnsiTheme="minorEastAsia" w:eastAsiaTheme="minorEastAsia" w:cstheme="minorEastAsia"/>
                <w:color w:val="000000" w:themeColor="text1"/>
                <w:sz w:val="18"/>
                <w:szCs w:val="18"/>
              </w:rPr>
              <w:t>1.《中央预算内投资补助和贴息项目管理办法》（国家发展和改革委员会令第45号）第二十三条“</w:t>
            </w:r>
            <w:r>
              <w:rPr>
                <w:rStyle w:val="13"/>
                <w:rFonts w:hint="eastAsia" w:asciiTheme="minorEastAsia" w:hAnsiTheme="minorEastAsia" w:eastAsiaTheme="minorEastAsia" w:cstheme="minorEastAsia"/>
                <w:color w:val="000000" w:themeColor="text1"/>
                <w:sz w:val="18"/>
                <w:szCs w:val="18"/>
              </w:rPr>
              <w:t>各级发展改革部门应当会同有关部门， 依据职责分工，利用在线平台， 对使用投资补助和贴息资金的项目加强监管， 防止转移、 侵占或者挪用投资补助和贴息资金，保证政府投资资金的合理使用和项目顺利建设实施。</w:t>
            </w:r>
            <w:r>
              <w:rPr>
                <w:rFonts w:hint="eastAsia" w:asciiTheme="minorEastAsia" w:hAnsiTheme="minorEastAsia" w:eastAsiaTheme="minorEastAsia" w:cstheme="minorEastAsia"/>
                <w:color w:val="000000" w:themeColor="text1"/>
                <w:sz w:val="18"/>
                <w:szCs w:val="18"/>
              </w:rPr>
              <w:t>”</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1.检查责任：对</w:t>
            </w:r>
            <w:r>
              <w:rPr>
                <w:rFonts w:hint="eastAsia" w:ascii="宋体" w:hAnsi="宋体" w:eastAsia="宋体"/>
                <w:color w:val="000000" w:themeColor="text1"/>
                <w:sz w:val="18"/>
                <w:szCs w:val="18"/>
              </w:rPr>
              <w:t>中央预算内投资补助和贴息资金项目实施情况</w:t>
            </w:r>
            <w:r>
              <w:rPr>
                <w:rFonts w:ascii="宋体" w:hAnsi="宋体" w:eastAsia="宋体"/>
                <w:color w:val="000000" w:themeColor="text1"/>
                <w:sz w:val="18"/>
                <w:szCs w:val="18"/>
              </w:rPr>
              <w:t>组织监督检查；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2.处置责任：</w:t>
            </w:r>
            <w:r>
              <w:rPr>
                <w:rFonts w:hint="eastAsia" w:ascii="宋体" w:hAnsi="宋体" w:eastAsia="宋体"/>
                <w:color w:val="000000" w:themeColor="text1"/>
                <w:sz w:val="18"/>
                <w:szCs w:val="18"/>
              </w:rPr>
              <w:t>对打捆和切块下达投资计划的项目存在转移、侵占或者挪用投资补助和贴息资金的</w:t>
            </w:r>
            <w:r>
              <w:rPr>
                <w:rFonts w:ascii="宋体" w:hAnsi="宋体" w:eastAsia="宋体"/>
                <w:color w:val="000000" w:themeColor="text1"/>
                <w:sz w:val="18"/>
                <w:szCs w:val="18"/>
              </w:rPr>
              <w:t>，</w:t>
            </w:r>
            <w:r>
              <w:rPr>
                <w:rFonts w:hint="eastAsia" w:ascii="宋体" w:hAnsi="宋体" w:eastAsia="宋体"/>
                <w:color w:val="000000" w:themeColor="text1"/>
                <w:sz w:val="18"/>
                <w:szCs w:val="18"/>
              </w:rPr>
              <w:t>责令其限期整改；拒不整改或者整改后仍不符合要求的，建议上级部门核减、收回或者停止拨付投资补助和贴息资金，暂停其申报中央投资补助和贴息项目，将相关信息纳入全国信用信息共享平台和在“信用中国”网站公开，并可以根据情节轻重提请或者移交有关机关依法追究有关责任人的行政或者法律责任</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3.移送责任：对构成违法犯罪的移交司法机关；</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4.其他责任：法律法规规章等规定应履行的责任。</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w:t>
            </w:r>
            <w:r>
              <w:rPr>
                <w:rFonts w:ascii="宋体" w:hAnsi="宋体" w:eastAsia="宋体"/>
                <w:color w:val="000000" w:themeColor="text1"/>
                <w:sz w:val="18"/>
                <w:szCs w:val="18"/>
              </w:rPr>
              <w:t>.</w:t>
            </w:r>
            <w:r>
              <w:rPr>
                <w:rFonts w:hint="eastAsia" w:ascii="宋体" w:hAnsi="宋体" w:eastAsia="宋体"/>
                <w:color w:val="000000" w:themeColor="text1"/>
                <w:sz w:val="18"/>
                <w:szCs w:val="18"/>
              </w:rPr>
              <w:t>不对本辖区内中央预算内投资补助和贴息资金项目实施情况进行监督检查的</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对检查</w:t>
            </w:r>
            <w:r>
              <w:rPr>
                <w:rFonts w:ascii="宋体" w:hAnsi="宋体" w:eastAsia="宋体"/>
                <w:color w:val="000000" w:themeColor="text1"/>
                <w:sz w:val="18"/>
                <w:szCs w:val="18"/>
              </w:rPr>
              <w:t>中发现的问题不责令限期整改、依法实施处罚的；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对</w:t>
            </w:r>
            <w:r>
              <w:rPr>
                <w:rFonts w:ascii="宋体" w:hAnsi="宋体" w:eastAsia="宋体"/>
                <w:color w:val="000000" w:themeColor="text1"/>
                <w:sz w:val="18"/>
                <w:szCs w:val="18"/>
              </w:rPr>
              <w:t>构成犯罪的不移交司法机关的；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w:t>
            </w:r>
            <w:r>
              <w:rPr>
                <w:rFonts w:hint="eastAsia" w:ascii="宋体" w:hAnsi="宋体" w:eastAsia="宋体"/>
                <w:color w:val="000000" w:themeColor="text1"/>
                <w:sz w:val="18"/>
                <w:szCs w:val="18"/>
              </w:rPr>
              <w:t>其他</w:t>
            </w:r>
            <w:r>
              <w:rPr>
                <w:rFonts w:ascii="宋体" w:hAnsi="宋体" w:eastAsia="宋体"/>
                <w:color w:val="000000" w:themeColor="text1"/>
                <w:sz w:val="18"/>
                <w:szCs w:val="18"/>
              </w:rPr>
              <w:t>违反法律法规规章文件规定的行为。</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5</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行政检查</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对水泥、预拌混凝土和预拌砂浆的生产、经营、运输、使用监督检查</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r>
              <w:rPr>
                <w:rFonts w:hint="eastAsia" w:ascii="宋体" w:hAnsi="宋体" w:eastAsia="宋体"/>
                <w:color w:val="000000" w:themeColor="text1"/>
                <w:sz w:val="18"/>
                <w:szCs w:val="18"/>
              </w:rPr>
              <w:t>1.《河北省促进散装水泥发展条例》第四条“</w:t>
            </w:r>
            <w:r>
              <w:rPr>
                <w:rFonts w:ascii="Arial" w:hAnsi="Arial" w:cs="Arial"/>
                <w:color w:val="000000" w:themeColor="text1"/>
                <w:sz w:val="21"/>
                <w:szCs w:val="21"/>
                <w:shd w:val="clear" w:color="auto" w:fill="FFFFFF"/>
              </w:rPr>
              <w:t>县级以上</w:t>
            </w:r>
            <w:r>
              <w:fldChar w:fldCharType="begin"/>
            </w:r>
            <w:r>
              <w:instrText xml:space="preserve"> HYPERLINK "https://baike.so.com/doc/6819103-7036148.html" \t "https://baike.so.com/doc/_blank" </w:instrText>
            </w:r>
            <w:r>
              <w:fldChar w:fldCharType="separate"/>
            </w:r>
            <w:r>
              <w:rPr>
                <w:rStyle w:val="8"/>
                <w:rFonts w:ascii="Arial" w:hAnsi="Arial" w:cs="Arial"/>
                <w:color w:val="000000" w:themeColor="text1"/>
                <w:sz w:val="21"/>
                <w:szCs w:val="21"/>
                <w:shd w:val="clear" w:color="auto" w:fill="FFFFFF"/>
              </w:rPr>
              <w:t>人民政府</w:t>
            </w:r>
            <w:r>
              <w:rPr>
                <w:rStyle w:val="8"/>
                <w:rFonts w:ascii="Arial" w:hAnsi="Arial" w:cs="Arial"/>
                <w:color w:val="000000" w:themeColor="text1"/>
                <w:sz w:val="21"/>
                <w:szCs w:val="21"/>
                <w:shd w:val="clear" w:color="auto" w:fill="FFFFFF"/>
              </w:rPr>
              <w:fldChar w:fldCharType="end"/>
            </w:r>
            <w:r>
              <w:rPr>
                <w:rFonts w:ascii="Arial" w:hAnsi="Arial" w:cs="Arial"/>
                <w:color w:val="000000" w:themeColor="text1"/>
                <w:sz w:val="21"/>
                <w:szCs w:val="21"/>
                <w:shd w:val="clear" w:color="auto" w:fill="FFFFFF"/>
              </w:rPr>
              <w:t>散装水泥行政主管部门负责本行政区域内促进散装水泥发展的监督管理工作，具体工作由其所属的散装水泥管理机构负责，所需经费列入同级财政预算。县级以上人民政府住房和城乡建设、环境保护等有关行政主管部门按照规定的职责，负责促进散装水泥发展的相关监督管理工作。</w:t>
            </w:r>
            <w:r>
              <w:rPr>
                <w:rFonts w:hint="eastAsia" w:ascii="宋体" w:hAnsi="宋体" w:eastAsia="宋体"/>
                <w:color w:val="000000" w:themeColor="text1"/>
                <w:sz w:val="18"/>
                <w:szCs w:val="18"/>
              </w:rPr>
              <w:t>”</w:t>
            </w: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p>
            <w:pPr>
              <w:pStyle w:val="4"/>
              <w:widowControl/>
              <w:shd w:val="clear" w:color="auto" w:fill="FFFFFF"/>
              <w:spacing w:beforeAutospacing="0" w:afterAutospacing="0" w:line="360" w:lineRule="atLeast"/>
              <w:rPr>
                <w:rFonts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1.检查责任：对</w:t>
            </w:r>
            <w:r>
              <w:rPr>
                <w:rFonts w:hint="eastAsia" w:ascii="宋体" w:hAnsi="宋体" w:eastAsia="宋体"/>
                <w:color w:val="000000" w:themeColor="text1"/>
                <w:sz w:val="18"/>
                <w:szCs w:val="18"/>
              </w:rPr>
              <w:t>水泥、预拌混凝土和预拌砂浆的生产、经营、运输、使用</w:t>
            </w:r>
            <w:r>
              <w:rPr>
                <w:rFonts w:ascii="宋体" w:hAnsi="宋体" w:eastAsia="宋体"/>
                <w:color w:val="000000" w:themeColor="text1"/>
                <w:sz w:val="18"/>
                <w:szCs w:val="18"/>
              </w:rPr>
              <w:t>情况组织监督检查；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2.处置责任：对</w:t>
            </w:r>
            <w:r>
              <w:rPr>
                <w:rFonts w:hint="eastAsia" w:ascii="宋体" w:hAnsi="宋体" w:eastAsia="宋体"/>
                <w:color w:val="000000" w:themeColor="text1"/>
                <w:sz w:val="18"/>
                <w:szCs w:val="18"/>
              </w:rPr>
              <w:t>监督检查发现的</w:t>
            </w:r>
            <w:r>
              <w:rPr>
                <w:rFonts w:ascii="宋体" w:hAnsi="宋体" w:eastAsia="宋体"/>
                <w:color w:val="000000" w:themeColor="text1"/>
                <w:sz w:val="18"/>
                <w:szCs w:val="18"/>
              </w:rPr>
              <w:t>问题，责令其限期整改、依法实施处罚；</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3.</w:t>
            </w:r>
            <w:r>
              <w:rPr>
                <w:rFonts w:ascii="宋体" w:hAnsi="宋体" w:eastAsia="宋体"/>
                <w:color w:val="000000" w:themeColor="text1"/>
                <w:sz w:val="18"/>
                <w:szCs w:val="18"/>
              </w:rPr>
              <w:t>对构成违法犯罪的移交司法机关；</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4.其他责任：法律法规规章等规定应履行的责任。</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eastAsia="方正书宋_GBK"/>
                <w:color w:val="000000" w:themeColor="text1"/>
                <w:sz w:val="18"/>
                <w:szCs w:val="18"/>
              </w:rPr>
            </w:pPr>
            <w:r>
              <w:rPr>
                <w:rFonts w:eastAsia="方正书宋_GBK"/>
                <w:color w:val="000000" w:themeColor="text1"/>
                <w:sz w:val="18"/>
                <w:szCs w:val="18"/>
              </w:rPr>
              <w:t>1.</w:t>
            </w:r>
            <w:r>
              <w:rPr>
                <w:rFonts w:hint="eastAsia" w:eastAsia="方正书宋_GBK"/>
                <w:color w:val="000000" w:themeColor="text1"/>
                <w:sz w:val="18"/>
                <w:szCs w:val="18"/>
              </w:rPr>
              <w:t>不依法履行监督管理职责的；</w:t>
            </w:r>
          </w:p>
          <w:p>
            <w:pPr>
              <w:tabs>
                <w:tab w:val="left" w:pos="7937"/>
              </w:tabs>
              <w:spacing w:line="280" w:lineRule="exact"/>
              <w:rPr>
                <w:rFonts w:eastAsia="方正书宋_GBK"/>
                <w:color w:val="000000" w:themeColor="text1"/>
                <w:sz w:val="18"/>
                <w:szCs w:val="18"/>
              </w:rPr>
            </w:pPr>
            <w:r>
              <w:rPr>
                <w:rFonts w:eastAsia="方正书宋_GBK"/>
                <w:color w:val="000000" w:themeColor="text1"/>
                <w:sz w:val="18"/>
                <w:szCs w:val="18"/>
              </w:rPr>
              <w:t>2.</w:t>
            </w:r>
            <w:r>
              <w:rPr>
                <w:rFonts w:hint="eastAsia" w:eastAsia="方正书宋_GBK"/>
                <w:color w:val="000000" w:themeColor="text1"/>
                <w:sz w:val="18"/>
                <w:szCs w:val="18"/>
              </w:rPr>
              <w:t>收到有关违法行为的投诉举报，不依法处理的；</w:t>
            </w:r>
          </w:p>
          <w:p>
            <w:pPr>
              <w:tabs>
                <w:tab w:val="left" w:pos="7937"/>
              </w:tabs>
              <w:spacing w:line="280" w:lineRule="exact"/>
              <w:rPr>
                <w:rFonts w:eastAsia="方正书宋_GBK"/>
                <w:color w:val="000000" w:themeColor="text1"/>
                <w:sz w:val="18"/>
                <w:szCs w:val="18"/>
              </w:rPr>
            </w:pPr>
            <w:r>
              <w:rPr>
                <w:rFonts w:eastAsia="方正书宋_GBK"/>
                <w:color w:val="000000" w:themeColor="text1"/>
                <w:sz w:val="18"/>
                <w:szCs w:val="18"/>
              </w:rPr>
              <w:t>3.</w:t>
            </w:r>
            <w:r>
              <w:rPr>
                <w:rFonts w:hint="eastAsia" w:eastAsia="方正书宋_GBK"/>
                <w:color w:val="000000" w:themeColor="text1"/>
                <w:sz w:val="18"/>
                <w:szCs w:val="18"/>
              </w:rPr>
              <w:t>违反规定征收、使用散装水泥专项资金的；</w:t>
            </w:r>
          </w:p>
          <w:p>
            <w:pPr>
              <w:tabs>
                <w:tab w:val="left" w:pos="7937"/>
              </w:tabs>
              <w:spacing w:line="280" w:lineRule="exact"/>
              <w:rPr>
                <w:rFonts w:eastAsia="方正书宋_GBK"/>
                <w:color w:val="000000" w:themeColor="text1"/>
                <w:sz w:val="18"/>
                <w:szCs w:val="18"/>
              </w:rPr>
            </w:pPr>
            <w:r>
              <w:rPr>
                <w:rFonts w:eastAsia="方正书宋_GBK"/>
                <w:color w:val="000000" w:themeColor="text1"/>
                <w:sz w:val="18"/>
                <w:szCs w:val="18"/>
              </w:rPr>
              <w:t>4.</w:t>
            </w:r>
            <w:r>
              <w:rPr>
                <w:rFonts w:hint="eastAsia" w:eastAsia="方正书宋_GBK"/>
                <w:color w:val="000000" w:themeColor="text1"/>
                <w:sz w:val="18"/>
                <w:szCs w:val="18"/>
              </w:rPr>
              <w:t>其他滥用职权、玩忽职守、徇私舞弊的行为。</w:t>
            </w:r>
          </w:p>
          <w:p>
            <w:pPr>
              <w:tabs>
                <w:tab w:val="left" w:pos="7937"/>
              </w:tabs>
              <w:spacing w:line="280" w:lineRule="exact"/>
              <w:rPr>
                <w:rFonts w:eastAsia="方正书宋_GBK"/>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6</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行政检查</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对节能法律、法规和节能标准执行情况监督检查</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1.《中华人民共和国节约能源法》第十二条</w:t>
            </w:r>
            <w:r>
              <w:rPr>
                <w:rFonts w:hint="eastAsia" w:ascii="宋体" w:hAnsi="宋体" w:eastAsia="宋体"/>
                <w:color w:val="000000" w:themeColor="text1"/>
                <w:sz w:val="18"/>
                <w:szCs w:val="18"/>
              </w:rPr>
              <w:t>“</w:t>
            </w:r>
            <w:r>
              <w:rPr>
                <w:rFonts w:hint="eastAsia" w:ascii="宋体" w:hAnsi="宋体" w:eastAsia="宋体" w:cs="宋体"/>
                <w:color w:val="000000" w:themeColor="text1"/>
                <w:sz w:val="18"/>
                <w:szCs w:val="18"/>
              </w:rPr>
              <w:t>县级以上人民政府管理节能工作的部门和有关部门应当在各自的职责范围内，加强对节能法律、法规和节能标准执行情况的监督检查，依法查处违法用能行为。</w:t>
            </w:r>
            <w:r>
              <w:rPr>
                <w:rFonts w:hint="eastAsia" w:ascii="宋体" w:hAnsi="宋体" w:eastAsia="宋体"/>
                <w:color w:val="000000" w:themeColor="text1"/>
                <w:sz w:val="18"/>
                <w:szCs w:val="18"/>
              </w:rPr>
              <w:t>”</w:t>
            </w:r>
          </w:p>
          <w:p>
            <w:pPr>
              <w:tabs>
                <w:tab w:val="left" w:pos="7937"/>
              </w:tabs>
              <w:spacing w:line="280" w:lineRule="exact"/>
              <w:rPr>
                <w:rFonts w:asciiTheme="minorEastAsia" w:hAnsiTheme="minorEastAsia" w:eastAsiaTheme="minorEastAsia" w:cstheme="minorEastAsia"/>
                <w:color w:val="000000" w:themeColor="text1"/>
                <w:sz w:val="18"/>
                <w:szCs w:val="18"/>
              </w:rPr>
            </w:pPr>
            <w:r>
              <w:rPr>
                <w:rFonts w:ascii="宋体" w:hAnsi="宋体" w:eastAsia="宋体"/>
                <w:color w:val="000000" w:themeColor="text1"/>
                <w:sz w:val="18"/>
                <w:szCs w:val="18"/>
              </w:rPr>
              <w:t>2.《河北省节约能源条例》第五条</w:t>
            </w:r>
            <w:r>
              <w:rPr>
                <w:rFonts w:hint="eastAsia" w:asciiTheme="minorEastAsia" w:hAnsiTheme="minorEastAsia" w:eastAsiaTheme="minorEastAsia" w:cstheme="minorEastAsia"/>
                <w:color w:val="000000" w:themeColor="text1"/>
                <w:sz w:val="18"/>
                <w:szCs w:val="18"/>
              </w:rPr>
              <w:t>“县级以上人民政府发展改革部门是本行政区域的节能主管部门，综合负责节能监督管理工作。县级以上人民政府工业和信息化、住房城乡建设、交通运输、农业、统计等有关部门以及负责机关事务管理工作的机构，应当在各自的职责范围内负责节能监督管理工作，并接受同级节能主管部门的指导。县级以上人民政府节能主管部门所属的节能监察机构具体负责节能监察工作。”</w:t>
            </w: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Theme="minorEastAsia" w:hAnsiTheme="minorEastAsia" w:eastAsiaTheme="minorEastAsia" w:cstheme="minorEastAsia"/>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1.检查责任：对</w:t>
            </w:r>
            <w:r>
              <w:rPr>
                <w:rFonts w:hint="eastAsia" w:ascii="宋体" w:hAnsi="宋体" w:eastAsia="宋体"/>
                <w:color w:val="000000" w:themeColor="text1"/>
                <w:sz w:val="18"/>
                <w:szCs w:val="18"/>
              </w:rPr>
              <w:t>节能法律、法规和节能标准执行情况</w:t>
            </w:r>
            <w:r>
              <w:rPr>
                <w:rFonts w:ascii="宋体" w:hAnsi="宋体" w:eastAsia="宋体"/>
                <w:color w:val="000000" w:themeColor="text1"/>
                <w:sz w:val="18"/>
                <w:szCs w:val="18"/>
              </w:rPr>
              <w:t>组织监督检查；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2.处置责任：对监督检查发现的问题，责令其限期整改、依法实施处罚；</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3.移送责任：及时予以公告，对构成违法犯罪的移交司法机关；</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4.其他责任：法律法规规章等规定应履行的责任。</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1.不对本辖区内中央预算内投资补助和贴息资金项目实施情况进行监督检查的；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2.对检查中发现的问题不责令限期整改、依法实施处罚的；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3.对构成犯罪的不移交司法机关的；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4.其他违反法律法规规章文件规定的行为。</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7</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行政检查</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对电力供应与使用监督检查</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shd w:val="clear" w:color="auto" w:fill="FFFFFF"/>
              <w:autoSpaceDN w:val="0"/>
              <w:spacing w:line="220" w:lineRule="exact"/>
              <w:textAlignment w:val="center"/>
              <w:rPr>
                <w:rFonts w:ascii="仿宋_GB2312" w:hAnsi="仿宋_GB2312" w:eastAsia="仿宋_GB2312" w:cs="仿宋_GB2312"/>
                <w:b/>
                <w:color w:val="000000" w:themeColor="text1"/>
                <w:sz w:val="20"/>
              </w:rPr>
            </w:pPr>
            <w:r>
              <w:rPr>
                <w:rFonts w:hint="eastAsia" w:asciiTheme="minorEastAsia" w:hAnsiTheme="minorEastAsia" w:eastAsiaTheme="minorEastAsia" w:cstheme="minorEastAsia"/>
                <w:color w:val="000000" w:themeColor="text1"/>
                <w:sz w:val="18"/>
                <w:szCs w:val="18"/>
              </w:rPr>
              <w:t>1.《电力供应与使用条例》第三条“</w:t>
            </w:r>
            <w:r>
              <w:rPr>
                <w:rFonts w:hint="eastAsia" w:asciiTheme="minorEastAsia" w:hAnsiTheme="minorEastAsia" w:eastAsiaTheme="minorEastAsia" w:cstheme="minorEastAsia"/>
                <w:color w:val="000000" w:themeColor="text1"/>
                <w:sz w:val="18"/>
                <w:szCs w:val="18"/>
                <w:shd w:val="clear" w:color="auto" w:fill="FFFFFF"/>
              </w:rPr>
              <w:t>国务院电力管理部门负责全国电力供应与使用的监督管理工作。 县级以上地方人民政府电力管理部门负责本行政区域内电力供应与使用的监督管理 工作。</w:t>
            </w:r>
            <w:r>
              <w:rPr>
                <w:rFonts w:hint="eastAsia" w:asciiTheme="minorEastAsia" w:hAnsiTheme="minorEastAsia" w:eastAsiaTheme="minorEastAsia" w:cstheme="minorEastAsia"/>
                <w:color w:val="000000" w:themeColor="text1"/>
                <w:sz w:val="18"/>
                <w:szCs w:val="18"/>
              </w:rPr>
              <w:t>”</w:t>
            </w: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1.检查责任：对</w:t>
            </w:r>
            <w:r>
              <w:rPr>
                <w:rFonts w:hint="eastAsia" w:ascii="宋体" w:hAnsi="宋体" w:eastAsia="宋体"/>
                <w:color w:val="000000" w:themeColor="text1"/>
                <w:sz w:val="18"/>
                <w:szCs w:val="18"/>
              </w:rPr>
              <w:t>电力供应与</w:t>
            </w:r>
            <w:r>
              <w:rPr>
                <w:rFonts w:ascii="宋体" w:hAnsi="宋体" w:eastAsia="宋体"/>
                <w:color w:val="000000" w:themeColor="text1"/>
                <w:sz w:val="18"/>
                <w:szCs w:val="18"/>
              </w:rPr>
              <w:t>使用情况组织监督检查；</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2.处置责任：对监督检查发现的问题，责令其限期整改、依法实施处罚；</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3.移送责任：及时予以公告，对构成违法犯罪的移交司法机关；</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4.其他责任：法律法规规章等规定应履行的责任。</w:t>
            </w:r>
          </w:p>
        </w:tc>
        <w:tc>
          <w:tcPr>
            <w:tcW w:w="3260"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1.不对</w:t>
            </w:r>
            <w:r>
              <w:rPr>
                <w:rFonts w:hint="eastAsia" w:ascii="宋体" w:hAnsi="宋体" w:eastAsia="宋体"/>
                <w:color w:val="000000" w:themeColor="text1"/>
                <w:sz w:val="18"/>
                <w:szCs w:val="18"/>
              </w:rPr>
              <w:t>电力供应与</w:t>
            </w:r>
            <w:r>
              <w:rPr>
                <w:rFonts w:ascii="宋体" w:hAnsi="宋体" w:eastAsia="宋体"/>
                <w:color w:val="000000" w:themeColor="text1"/>
                <w:sz w:val="18"/>
                <w:szCs w:val="18"/>
              </w:rPr>
              <w:t>使用情况进行监督检查的；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2.对检查中发现的问题不责令限期整改、依法实施处罚的；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3.对构成犯罪的不移交司法机关的；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 xml:space="preserve">4.其他违反法律法规规章文件规定的行为。 </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8</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行政确认</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价格认定</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1.国家计委、最高人民法院、最高人民检察院、公安部《关于印发＜扣押、追缴、没收物品估价管理办法＞的通知》（计办〔1997〕808号）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2.国家发展改革委、最高人民法院、最高人民检察院、公安部、财政部《关于扣押、追缴、没收及收缴财物价格鉴定管理的补充通知》（发改价格〔2008〕1392号）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3.国务院清理经济鉴证类社会中介机构领导小组《关于印发＜关于规范价格鉴证机构管理意见＞的通知》（国清3号）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4.国家计委转发《关于规范价格价格鉴证机构管理意见》的通知（计经调〔2000〕1786号）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5.《河北省涉案资产价格鉴证管理条例》（河北省第九届人民代表大会常务委员会第74号公告</w:t>
            </w:r>
            <w:r>
              <w:rPr>
                <w:rFonts w:hint="eastAsia"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6.中纪委、国家发展改革委、监察部、财政部关于印发《纪检监察机关查办案件涉案财物价格认定工作暂行办法》的通知（中纪发〔2010〕35号）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7.国家发展改革委关于印发《价格认定规定》的通知（发改价格〔2015〕2251号）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8.国家发展改革委、国家税务总局《关于开展涉税财物价格认定工作的指导意见》（发改价格〔2010〕770号）</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9.河北省物价局、河北省国家税务局、河北省地方税务局、河北省财政厅关于印发《河北省应税物价格认定管理办法》</w:t>
            </w:r>
            <w:r>
              <w:rPr>
                <w:rFonts w:hint="eastAsia" w:ascii="宋体" w:hAnsi="宋体" w:eastAsia="宋体"/>
                <w:color w:val="000000" w:themeColor="text1"/>
                <w:sz w:val="18"/>
                <w:szCs w:val="18"/>
              </w:rPr>
              <w:t>的通知</w:t>
            </w:r>
            <w:r>
              <w:rPr>
                <w:rFonts w:ascii="宋体" w:hAnsi="宋体" w:eastAsia="宋体"/>
                <w:color w:val="000000" w:themeColor="text1"/>
                <w:sz w:val="18"/>
                <w:szCs w:val="18"/>
              </w:rPr>
              <w:t>（冀价认字〔2007〕8号）</w:t>
            </w:r>
          </w:p>
          <w:p>
            <w:pPr>
              <w:tabs>
                <w:tab w:val="left" w:pos="7937"/>
              </w:tabs>
              <w:spacing w:line="280" w:lineRule="exact"/>
              <w:rPr>
                <w:rFonts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1.审查责任:</w:t>
            </w:r>
            <w:r>
              <w:rPr>
                <w:rFonts w:hint="eastAsia" w:ascii="宋体" w:hAnsi="宋体" w:eastAsia="宋体"/>
                <w:color w:val="000000" w:themeColor="text1"/>
                <w:sz w:val="18"/>
                <w:szCs w:val="18"/>
              </w:rPr>
              <w:t>对</w:t>
            </w:r>
            <w:r>
              <w:rPr>
                <w:rFonts w:ascii="宋体" w:hAnsi="宋体" w:eastAsia="宋体"/>
                <w:color w:val="000000" w:themeColor="text1"/>
                <w:sz w:val="18"/>
                <w:szCs w:val="18"/>
              </w:rPr>
              <w:t>纪检监察、司法、行政工作中所涉及的，价格不明或者价格有争议的，实行市场调节价的有形产品、无形资产和各类有偿服务进行价格确认。</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2.决定责任:</w:t>
            </w:r>
            <w:r>
              <w:rPr>
                <w:rFonts w:hint="eastAsia" w:ascii="宋体" w:hAnsi="宋体" w:eastAsia="宋体"/>
                <w:color w:val="000000" w:themeColor="text1"/>
                <w:sz w:val="18"/>
                <w:szCs w:val="18"/>
              </w:rPr>
              <w:t>作出价格</w:t>
            </w:r>
            <w:r>
              <w:rPr>
                <w:rFonts w:ascii="宋体" w:hAnsi="宋体" w:eastAsia="宋体"/>
                <w:color w:val="000000" w:themeColor="text1"/>
                <w:sz w:val="18"/>
                <w:szCs w:val="18"/>
              </w:rPr>
              <w:t>认定结论。</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其他法律法规规章文件规定应履行的责任。</w:t>
            </w:r>
          </w:p>
        </w:tc>
        <w:tc>
          <w:tcPr>
            <w:tcW w:w="3260" w:type="dxa"/>
            <w:vAlign w:val="center"/>
          </w:tcPr>
          <w:p>
            <w:pPr>
              <w:tabs>
                <w:tab w:val="left" w:pos="7937"/>
              </w:tabs>
              <w:spacing w:line="26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60" w:lineRule="exact"/>
              <w:rPr>
                <w:rFonts w:ascii="宋体" w:hAnsi="宋体" w:eastAsia="宋体"/>
                <w:color w:val="000000" w:themeColor="text1"/>
                <w:sz w:val="18"/>
                <w:szCs w:val="18"/>
              </w:rPr>
            </w:pPr>
            <w:r>
              <w:rPr>
                <w:rFonts w:ascii="宋体" w:hAnsi="宋体" w:eastAsia="宋体"/>
                <w:color w:val="000000" w:themeColor="text1"/>
                <w:sz w:val="18"/>
                <w:szCs w:val="18"/>
              </w:rPr>
              <w:t>1</w:t>
            </w:r>
            <w:r>
              <w:rPr>
                <w:rFonts w:hint="eastAsia" w:ascii="宋体" w:hAnsi="宋体" w:eastAsia="宋体"/>
                <w:color w:val="000000" w:themeColor="text1"/>
                <w:sz w:val="18"/>
                <w:szCs w:val="18"/>
              </w:rPr>
              <w:t>.价格认定人员</w:t>
            </w:r>
            <w:r>
              <w:rPr>
                <w:rFonts w:ascii="宋体" w:hAnsi="宋体" w:eastAsia="宋体"/>
                <w:color w:val="000000" w:themeColor="text1"/>
                <w:sz w:val="18"/>
                <w:szCs w:val="18"/>
              </w:rPr>
              <w:t>因主观故意或者过失，出具虚假价格认定结论或者价格认定结论有重大差错的</w:t>
            </w:r>
            <w:r>
              <w:rPr>
                <w:rFonts w:hint="eastAsia" w:ascii="宋体" w:hAnsi="宋体" w:eastAsia="宋体"/>
                <w:color w:val="000000" w:themeColor="text1"/>
                <w:sz w:val="18"/>
                <w:szCs w:val="18"/>
              </w:rPr>
              <w:t>；</w:t>
            </w:r>
          </w:p>
          <w:p>
            <w:pPr>
              <w:tabs>
                <w:tab w:val="left" w:pos="7937"/>
              </w:tabs>
              <w:spacing w:line="260" w:lineRule="exact"/>
              <w:rPr>
                <w:rFonts w:ascii="宋体" w:hAnsi="宋体" w:eastAsia="宋体"/>
                <w:color w:val="000000" w:themeColor="text1"/>
                <w:sz w:val="18"/>
                <w:szCs w:val="18"/>
              </w:rPr>
            </w:pPr>
            <w:r>
              <w:rPr>
                <w:rFonts w:ascii="宋体" w:hAnsi="宋体" w:eastAsia="宋体"/>
                <w:color w:val="000000" w:themeColor="text1"/>
                <w:sz w:val="18"/>
                <w:szCs w:val="18"/>
              </w:rPr>
              <w:t>2.将依法取得的价格认定资料或者了解的情况用于其他目的的</w:t>
            </w:r>
          </w:p>
          <w:p>
            <w:pPr>
              <w:tabs>
                <w:tab w:val="left" w:pos="7937"/>
              </w:tabs>
              <w:spacing w:line="26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其他违反法律法规规章文件规定的行为。</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9</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其他</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价格争议行政调解处理</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1.国务院《中华人民共和国价格管理条例》（</w:t>
            </w:r>
            <w:r>
              <w:rPr>
                <w:rFonts w:ascii="宋体" w:hAnsi="宋体" w:eastAsia="宋体"/>
                <w:color w:val="000000" w:themeColor="text1"/>
                <w:sz w:val="18"/>
                <w:szCs w:val="18"/>
              </w:rPr>
              <w:t>1987年9月11日）第</w:t>
            </w:r>
            <w:r>
              <w:rPr>
                <w:rFonts w:hint="eastAsia" w:ascii="宋体" w:hAnsi="宋体" w:eastAsia="宋体"/>
                <w:color w:val="000000" w:themeColor="text1"/>
                <w:sz w:val="18"/>
                <w:szCs w:val="18"/>
              </w:rPr>
              <w:t>十五</w:t>
            </w:r>
            <w:r>
              <w:rPr>
                <w:rFonts w:ascii="宋体" w:hAnsi="宋体" w:eastAsia="宋体"/>
                <w:color w:val="000000" w:themeColor="text1"/>
                <w:sz w:val="18"/>
                <w:szCs w:val="18"/>
              </w:rPr>
              <w:t>条第（六）款；</w:t>
            </w:r>
            <w:r>
              <w:rPr>
                <w:rFonts w:hint="eastAsia" w:ascii="宋体" w:hAnsi="宋体" w:eastAsia="宋体"/>
                <w:color w:val="000000" w:themeColor="text1"/>
                <w:sz w:val="18"/>
                <w:szCs w:val="18"/>
              </w:rPr>
              <w:t>2.</w:t>
            </w:r>
            <w:r>
              <w:rPr>
                <w:rFonts w:ascii="宋体" w:hAnsi="宋体" w:eastAsia="宋体"/>
                <w:color w:val="000000" w:themeColor="text1"/>
                <w:sz w:val="18"/>
                <w:szCs w:val="18"/>
              </w:rPr>
              <w:t>河北省人民政府办公厅关于印发《河北省价格争议调解处理办法》的通知（办字〔2010〕130号）</w:t>
            </w:r>
            <w:r>
              <w:rPr>
                <w:rFonts w:hint="eastAsia" w:ascii="宋体" w:hAnsi="宋体" w:eastAsia="宋体"/>
                <w:color w:val="000000" w:themeColor="text1"/>
                <w:sz w:val="18"/>
                <w:szCs w:val="18"/>
              </w:rPr>
              <w:t>第四条</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1.受理责任:对提交材料依法予以受理或不予受理（不予受理应当书面告知理由）。</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调解责任</w:t>
            </w:r>
            <w:r>
              <w:rPr>
                <w:rFonts w:ascii="宋体" w:hAnsi="宋体" w:eastAsia="宋体"/>
                <w:color w:val="000000" w:themeColor="text1"/>
                <w:sz w:val="18"/>
                <w:szCs w:val="18"/>
              </w:rPr>
              <w:t>:</w:t>
            </w:r>
            <w:r>
              <w:rPr>
                <w:rFonts w:hint="eastAsia" w:ascii="宋体" w:hAnsi="宋体" w:eastAsia="宋体"/>
                <w:color w:val="000000" w:themeColor="text1"/>
                <w:sz w:val="18"/>
                <w:szCs w:val="18"/>
              </w:rPr>
              <w:t>依法、公平、公正进行调解</w:t>
            </w:r>
            <w:r>
              <w:rPr>
                <w:rFonts w:ascii="宋体" w:hAnsi="宋体" w:eastAsia="宋体"/>
                <w:color w:val="000000" w:themeColor="text1"/>
                <w:sz w:val="18"/>
                <w:szCs w:val="18"/>
              </w:rPr>
              <w:t>，</w:t>
            </w:r>
            <w:r>
              <w:rPr>
                <w:rFonts w:hint="eastAsia" w:ascii="宋体" w:hAnsi="宋体" w:eastAsia="宋体"/>
                <w:color w:val="000000" w:themeColor="text1"/>
                <w:sz w:val="18"/>
                <w:szCs w:val="18"/>
              </w:rPr>
              <w:t>存在相关情况的</w:t>
            </w:r>
            <w:r>
              <w:rPr>
                <w:rFonts w:ascii="宋体" w:hAnsi="宋体" w:eastAsia="宋体"/>
                <w:color w:val="000000" w:themeColor="text1"/>
                <w:sz w:val="18"/>
                <w:szCs w:val="18"/>
              </w:rPr>
              <w:t>主动回避</w:t>
            </w:r>
            <w:r>
              <w:rPr>
                <w:rFonts w:hint="eastAsia" w:ascii="宋体" w:hAnsi="宋体" w:eastAsia="宋体"/>
                <w:color w:val="000000" w:themeColor="text1"/>
                <w:sz w:val="18"/>
                <w:szCs w:val="18"/>
              </w:rPr>
              <w:t>，发现当事人有价格违法行为停止调解处理，交有关部门另行处理</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3.决定责任:</w:t>
            </w:r>
            <w:r>
              <w:rPr>
                <w:rFonts w:hint="eastAsia" w:ascii="宋体" w:hAnsi="宋体" w:eastAsia="宋体"/>
                <w:color w:val="000000" w:themeColor="text1"/>
                <w:sz w:val="18"/>
                <w:szCs w:val="18"/>
              </w:rPr>
              <w:t>制作调解协议书</w:t>
            </w:r>
            <w:r>
              <w:rPr>
                <w:rFonts w:ascii="宋体" w:hAnsi="宋体" w:eastAsia="宋体"/>
                <w:color w:val="000000" w:themeColor="text1"/>
                <w:sz w:val="18"/>
                <w:szCs w:val="18"/>
              </w:rPr>
              <w:t xml:space="preserve">。 </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4.其他法律法规规章文件规定应履行的责任。</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w:t>
            </w:r>
            <w:r>
              <w:rPr>
                <w:rFonts w:hint="eastAsia" w:ascii="宋体" w:hAnsi="宋体" w:eastAsia="宋体"/>
                <w:color w:val="000000" w:themeColor="text1"/>
                <w:sz w:val="18"/>
                <w:szCs w:val="18"/>
              </w:rPr>
              <w:t>在价格争议调解</w:t>
            </w:r>
            <w:r>
              <w:rPr>
                <w:rFonts w:ascii="宋体" w:hAnsi="宋体" w:eastAsia="宋体"/>
                <w:color w:val="000000" w:themeColor="text1"/>
                <w:sz w:val="18"/>
                <w:szCs w:val="18"/>
              </w:rPr>
              <w:t>中</w:t>
            </w:r>
            <w:r>
              <w:rPr>
                <w:rFonts w:hint="eastAsia" w:ascii="宋体" w:hAnsi="宋体" w:eastAsia="宋体"/>
                <w:color w:val="000000" w:themeColor="text1"/>
                <w:sz w:val="18"/>
                <w:szCs w:val="18"/>
              </w:rPr>
              <w:t>滥用职权</w:t>
            </w:r>
            <w:r>
              <w:rPr>
                <w:rFonts w:ascii="宋体" w:hAnsi="宋体" w:eastAsia="宋体"/>
                <w:color w:val="000000" w:themeColor="text1"/>
                <w:sz w:val="18"/>
                <w:szCs w:val="18"/>
              </w:rPr>
              <w:t>、徇私舞弊、玩忽职守的。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10</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其他</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用煤投资项目煤炭替代方案审查</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1.《大气污染防治法》第九十条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2.《国务院关于印发大气污染防治行动计划的通知》（国发〔2013〕37号）第十二条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3.《重点地区煤炭消费减量替代管理暂行办法》（发改环资〔2014〕2984号）第八条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4.《关于严格控制重点区域燃煤发电项目规划建设有关要求的通知》（发改能源〔2014〕411号）第四条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5.《河北省节约能源条例》第十五条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6.《河北省人民政府办公厅关于印发河北省用煤投资项目煤炭替代管理暂行办法的通知》（〔2017〕-36）</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1.受理责任：公示依法应当提交的材料，一次性告知补正材料，依法受理或不予受理（不予受理应当告知理由）。</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2.审查责任：</w:t>
            </w:r>
            <w:r>
              <w:rPr>
                <w:rFonts w:hint="eastAsia" w:ascii="宋体" w:hAnsi="宋体" w:eastAsia="宋体"/>
                <w:color w:val="000000" w:themeColor="text1"/>
                <w:sz w:val="18"/>
                <w:szCs w:val="18"/>
              </w:rPr>
              <w:t>用煤项目煤炭替代方案（节能报告）</w:t>
            </w:r>
            <w:r>
              <w:rPr>
                <w:rFonts w:ascii="宋体" w:hAnsi="宋体" w:eastAsia="宋体"/>
                <w:color w:val="000000" w:themeColor="text1"/>
                <w:sz w:val="18"/>
                <w:szCs w:val="18"/>
              </w:rPr>
              <w:t>审核，</w:t>
            </w:r>
            <w:r>
              <w:rPr>
                <w:rFonts w:hint="eastAsia" w:ascii="宋体" w:hAnsi="宋体" w:eastAsia="宋体"/>
                <w:color w:val="000000" w:themeColor="text1"/>
                <w:sz w:val="18"/>
                <w:szCs w:val="18"/>
              </w:rPr>
              <w:t>需要现场核查的</w:t>
            </w:r>
            <w:r>
              <w:rPr>
                <w:rFonts w:ascii="宋体" w:hAnsi="宋体" w:eastAsia="宋体"/>
                <w:color w:val="000000" w:themeColor="text1"/>
                <w:sz w:val="18"/>
                <w:szCs w:val="18"/>
              </w:rPr>
              <w:t>组织进行现场核查，</w:t>
            </w:r>
            <w:r>
              <w:rPr>
                <w:rFonts w:hint="eastAsia" w:ascii="宋体" w:hAnsi="宋体" w:eastAsia="宋体"/>
                <w:color w:val="000000" w:themeColor="text1"/>
                <w:sz w:val="18"/>
                <w:szCs w:val="18"/>
              </w:rPr>
              <w:t>替代量为入统企业的函请统计部门核实相关数据</w:t>
            </w:r>
            <w:r>
              <w:rPr>
                <w:rFonts w:ascii="宋体" w:hAnsi="宋体" w:eastAsia="宋体"/>
                <w:color w:val="000000" w:themeColor="text1"/>
                <w:sz w:val="18"/>
                <w:szCs w:val="18"/>
              </w:rPr>
              <w:t>，提出审查意见。</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3.决定责任：</w:t>
            </w:r>
            <w:r>
              <w:rPr>
                <w:rFonts w:hint="eastAsia" w:ascii="宋体" w:hAnsi="宋体" w:eastAsia="宋体"/>
                <w:color w:val="000000" w:themeColor="text1"/>
                <w:sz w:val="18"/>
                <w:szCs w:val="18"/>
              </w:rPr>
              <w:t>通过审查或者</w:t>
            </w:r>
            <w:r>
              <w:rPr>
                <w:rFonts w:ascii="宋体" w:hAnsi="宋体" w:eastAsia="宋体"/>
                <w:color w:val="000000" w:themeColor="text1"/>
                <w:sz w:val="18"/>
                <w:szCs w:val="18"/>
              </w:rPr>
              <w:t>不通过审查（</w:t>
            </w:r>
            <w:r>
              <w:rPr>
                <w:rFonts w:hint="eastAsia" w:ascii="宋体" w:hAnsi="宋体" w:eastAsia="宋体"/>
                <w:color w:val="000000" w:themeColor="text1"/>
                <w:sz w:val="18"/>
                <w:szCs w:val="18"/>
              </w:rPr>
              <w:t>不通过审查</w:t>
            </w:r>
            <w:r>
              <w:rPr>
                <w:rFonts w:ascii="宋体" w:hAnsi="宋体" w:eastAsia="宋体"/>
                <w:color w:val="000000" w:themeColor="text1"/>
                <w:sz w:val="18"/>
                <w:szCs w:val="18"/>
              </w:rPr>
              <w:t>的应当书面告知理由）。</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4.送达责任：制发相关文书，信息公开。</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6.其他法律法规规章文件规定应承担的责任。</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1.负责用煤项目煤炭替代（节能）审查、监管的工作人员徇私舞弊、滥用职权、玩忽职守的</w:t>
            </w:r>
            <w:r>
              <w:rPr>
                <w:rFonts w:hint="eastAsia" w:ascii="宋体" w:hAnsi="宋体" w:eastAsia="宋体"/>
                <w:color w:val="000000" w:themeColor="text1"/>
                <w:sz w:val="18"/>
                <w:szCs w:val="18"/>
              </w:rPr>
              <w:t>。</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11</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其他</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中央预算内投资补助和贴息项目资金申请报告转报审核</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1.《中央预算内投资补助和贴息项目管理办法》（国家发展改革委令2</w:t>
            </w:r>
            <w:r>
              <w:rPr>
                <w:rFonts w:ascii="宋体" w:hAnsi="宋体" w:eastAsia="宋体"/>
                <w:color w:val="000000" w:themeColor="text1"/>
                <w:sz w:val="18"/>
                <w:szCs w:val="18"/>
              </w:rPr>
              <w:t>016</w:t>
            </w:r>
            <w:r>
              <w:rPr>
                <w:rFonts w:hint="eastAsia" w:ascii="宋体" w:hAnsi="宋体" w:eastAsia="宋体"/>
                <w:color w:val="000000" w:themeColor="text1"/>
                <w:sz w:val="18"/>
                <w:szCs w:val="18"/>
              </w:rPr>
              <w:t>年</w:t>
            </w:r>
            <w:r>
              <w:rPr>
                <w:rFonts w:ascii="宋体" w:hAnsi="宋体" w:eastAsia="宋体"/>
                <w:color w:val="000000" w:themeColor="text1"/>
                <w:sz w:val="18"/>
                <w:szCs w:val="18"/>
              </w:rPr>
              <w:t>第45 号）第</w:t>
            </w:r>
            <w:r>
              <w:rPr>
                <w:rFonts w:hint="eastAsia" w:ascii="宋体" w:hAnsi="宋体" w:eastAsia="宋体"/>
                <w:color w:val="000000" w:themeColor="text1"/>
                <w:sz w:val="18"/>
                <w:szCs w:val="18"/>
              </w:rPr>
              <w:t>十</w:t>
            </w:r>
            <w:r>
              <w:rPr>
                <w:rFonts w:ascii="宋体" w:hAnsi="宋体" w:eastAsia="宋体"/>
                <w:color w:val="000000" w:themeColor="text1"/>
                <w:sz w:val="18"/>
                <w:szCs w:val="18"/>
              </w:rPr>
              <w:t>条</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1.受理责任：公示依法应当提交的材料，一次性告知补正材料，依法受理或不予受理（不予受理应当告知理由）。</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2.审查责任：</w:t>
            </w:r>
            <w:r>
              <w:rPr>
                <w:rFonts w:hint="eastAsia" w:ascii="宋体" w:hAnsi="宋体" w:eastAsia="宋体"/>
                <w:color w:val="000000" w:themeColor="text1"/>
                <w:sz w:val="18"/>
                <w:szCs w:val="18"/>
              </w:rPr>
              <w:t>对是否符合</w:t>
            </w:r>
            <w:r>
              <w:rPr>
                <w:rFonts w:ascii="宋体" w:hAnsi="宋体" w:eastAsia="宋体"/>
                <w:color w:val="000000" w:themeColor="text1"/>
                <w:sz w:val="18"/>
                <w:szCs w:val="18"/>
              </w:rPr>
              <w:t>本办法规定的资金投向和申请程序</w:t>
            </w:r>
            <w:r>
              <w:rPr>
                <w:rFonts w:hint="eastAsia" w:ascii="宋体" w:hAnsi="宋体" w:eastAsia="宋体"/>
                <w:color w:val="000000" w:themeColor="text1"/>
                <w:sz w:val="18"/>
                <w:szCs w:val="18"/>
              </w:rPr>
              <w:t>、有关专项工作方案或管理办法的要求，</w:t>
            </w:r>
            <w:r>
              <w:rPr>
                <w:rFonts w:ascii="宋体" w:hAnsi="宋体" w:eastAsia="宋体"/>
                <w:color w:val="000000" w:themeColor="text1"/>
                <w:sz w:val="18"/>
                <w:szCs w:val="18"/>
              </w:rPr>
              <w:t>主要建设条件</w:t>
            </w:r>
            <w:r>
              <w:rPr>
                <w:rFonts w:hint="eastAsia" w:ascii="宋体" w:hAnsi="宋体" w:eastAsia="宋体"/>
                <w:color w:val="000000" w:themeColor="text1"/>
                <w:sz w:val="18"/>
                <w:szCs w:val="18"/>
              </w:rPr>
              <w:t>是否</w:t>
            </w:r>
            <w:r>
              <w:rPr>
                <w:rFonts w:ascii="宋体" w:hAnsi="宋体" w:eastAsia="宋体"/>
                <w:color w:val="000000" w:themeColor="text1"/>
                <w:sz w:val="18"/>
                <w:szCs w:val="18"/>
              </w:rPr>
              <w:t>基本落实，</w:t>
            </w:r>
            <w:r>
              <w:rPr>
                <w:rFonts w:hint="eastAsia" w:ascii="宋体" w:hAnsi="宋体" w:eastAsia="宋体"/>
                <w:color w:val="000000" w:themeColor="text1"/>
                <w:sz w:val="18"/>
                <w:szCs w:val="18"/>
              </w:rPr>
              <w:t>列是否入三年滚动投资计划并通过在线平台完成审批（核准、备案）情况进行审核</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3.报送责任：</w:t>
            </w:r>
            <w:r>
              <w:rPr>
                <w:rFonts w:hint="eastAsia" w:ascii="宋体" w:hAnsi="宋体" w:eastAsia="宋体"/>
                <w:color w:val="000000" w:themeColor="text1"/>
                <w:sz w:val="18"/>
                <w:szCs w:val="18"/>
              </w:rPr>
              <w:t>对</w:t>
            </w:r>
            <w:r>
              <w:rPr>
                <w:rFonts w:ascii="宋体" w:hAnsi="宋体" w:eastAsia="宋体"/>
                <w:color w:val="000000" w:themeColor="text1"/>
                <w:sz w:val="18"/>
                <w:szCs w:val="18"/>
              </w:rPr>
              <w:t>资金申请报告提出审核意见，汇总报送</w:t>
            </w:r>
            <w:r>
              <w:rPr>
                <w:rFonts w:hint="eastAsia" w:ascii="宋体" w:hAnsi="宋体" w:eastAsia="宋体"/>
                <w:color w:val="000000" w:themeColor="text1"/>
                <w:sz w:val="18"/>
                <w:szCs w:val="18"/>
              </w:rPr>
              <w:t>市</w:t>
            </w:r>
            <w:r>
              <w:rPr>
                <w:rFonts w:ascii="宋体" w:hAnsi="宋体" w:eastAsia="宋体"/>
                <w:color w:val="000000" w:themeColor="text1"/>
                <w:sz w:val="18"/>
                <w:szCs w:val="18"/>
              </w:rPr>
              <w:t>发展改革委。</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1.负责</w:t>
            </w:r>
            <w:r>
              <w:rPr>
                <w:rFonts w:hint="eastAsia" w:ascii="宋体" w:hAnsi="宋体" w:eastAsia="宋体"/>
                <w:color w:val="000000" w:themeColor="text1"/>
                <w:sz w:val="18"/>
                <w:szCs w:val="18"/>
              </w:rPr>
              <w:t>中央预算内投资补助和贴息项目资金申请报告转报审核工作人员</w:t>
            </w:r>
            <w:r>
              <w:rPr>
                <w:rFonts w:ascii="宋体" w:hAnsi="宋体" w:eastAsia="宋体"/>
                <w:color w:val="000000" w:themeColor="text1"/>
                <w:sz w:val="18"/>
                <w:szCs w:val="18"/>
              </w:rPr>
              <w:t>徇私舞弊、滥用职权、玩忽职守的。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12</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其他</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价格监测</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1.《价格法》第</w:t>
            </w:r>
            <w:r>
              <w:rPr>
                <w:rFonts w:hint="eastAsia" w:ascii="宋体" w:hAnsi="宋体" w:eastAsia="宋体"/>
                <w:color w:val="000000" w:themeColor="text1"/>
                <w:sz w:val="18"/>
                <w:szCs w:val="18"/>
              </w:rPr>
              <w:t>二十八</w:t>
            </w:r>
            <w:r>
              <w:rPr>
                <w:rFonts w:ascii="宋体" w:hAnsi="宋体" w:eastAsia="宋体"/>
                <w:color w:val="000000" w:themeColor="text1"/>
                <w:sz w:val="18"/>
                <w:szCs w:val="18"/>
              </w:rPr>
              <w:t>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2.《价格监测规定》（2003年4月国家发展改革委令第1号）第</w:t>
            </w:r>
            <w:r>
              <w:rPr>
                <w:rFonts w:hint="eastAsia" w:ascii="宋体" w:hAnsi="宋体" w:eastAsia="宋体"/>
                <w:color w:val="000000" w:themeColor="text1"/>
                <w:sz w:val="18"/>
                <w:szCs w:val="18"/>
              </w:rPr>
              <w:t>三</w:t>
            </w:r>
            <w:r>
              <w:rPr>
                <w:rFonts w:ascii="宋体" w:hAnsi="宋体" w:eastAsia="宋体"/>
                <w:color w:val="000000" w:themeColor="text1"/>
                <w:sz w:val="18"/>
                <w:szCs w:val="18"/>
              </w:rPr>
              <w:t>条</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1.制定补充的价格监测项目和标准职责</w:t>
            </w:r>
            <w:r>
              <w:rPr>
                <w:rFonts w:ascii="宋体" w:hAnsi="宋体" w:eastAsia="宋体"/>
                <w:color w:val="000000" w:themeColor="text1"/>
                <w:sz w:val="18"/>
                <w:szCs w:val="18"/>
              </w:rPr>
              <w:t>：</w:t>
            </w:r>
            <w:r>
              <w:rPr>
                <w:rFonts w:hint="eastAsia" w:ascii="宋体" w:hAnsi="宋体" w:eastAsia="宋体"/>
                <w:color w:val="000000" w:themeColor="text1"/>
                <w:sz w:val="18"/>
                <w:szCs w:val="18"/>
              </w:rPr>
              <w:t>根据本行政区域内经济活动的实际情况和价格工作的需要，制定或授权下级人民政府价格主管部门制定补充的价格监测项目和标准，</w:t>
            </w:r>
            <w:r>
              <w:rPr>
                <w:rFonts w:ascii="宋体" w:hAnsi="宋体" w:eastAsia="宋体"/>
                <w:color w:val="000000" w:themeColor="text1"/>
                <w:sz w:val="18"/>
                <w:szCs w:val="18"/>
              </w:rPr>
              <w:t>报</w:t>
            </w:r>
            <w:r>
              <w:rPr>
                <w:rFonts w:hint="eastAsia" w:ascii="宋体" w:hAnsi="宋体" w:eastAsia="宋体"/>
                <w:color w:val="000000" w:themeColor="text1"/>
                <w:sz w:val="18"/>
                <w:szCs w:val="18"/>
              </w:rPr>
              <w:t>国务院</w:t>
            </w:r>
            <w:r>
              <w:rPr>
                <w:rFonts w:ascii="宋体" w:hAnsi="宋体" w:eastAsia="宋体"/>
                <w:color w:val="000000" w:themeColor="text1"/>
                <w:sz w:val="18"/>
                <w:szCs w:val="18"/>
              </w:rPr>
              <w:t>价格主管部门备案。</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2.收集</w:t>
            </w:r>
            <w:r>
              <w:rPr>
                <w:rFonts w:ascii="宋体" w:hAnsi="宋体" w:eastAsia="宋体"/>
                <w:color w:val="000000" w:themeColor="text1"/>
                <w:sz w:val="18"/>
                <w:szCs w:val="18"/>
              </w:rPr>
              <w:t>价格资料职责：</w:t>
            </w:r>
            <w:r>
              <w:rPr>
                <w:rFonts w:hint="eastAsia" w:ascii="宋体" w:hAnsi="宋体" w:eastAsia="宋体"/>
                <w:color w:val="000000" w:themeColor="text1"/>
                <w:sz w:val="18"/>
                <w:szCs w:val="18"/>
              </w:rPr>
              <w:t>按照价格监测报告制度规定的内容、标准、方法、时间和程序进行。</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.监测</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调查和分析重要商品、服务价格，以及相关成本与市场供求的变动情况；跟踪反馈国家重要经济政策在价格领域的反映；实施价格预测、预警，并及时提出政策建议</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因不履行或不正确履行行政职责，有下列情形的行政机关及相关工作人员应承担相应的责任：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1.不执行价格监测制度，影响价格监测工作的；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2.上报价格数据错误较多，严重影响数据准确性和代表性的；</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3.玩忽职守、弄虚作假、瞒报、虚报或篡改价格数据资料，造成全国或地区汇总数据严重失实的；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w:t>
            </w:r>
            <w:r>
              <w:rPr>
                <w:rFonts w:hint="eastAsia" w:ascii="宋体" w:hAnsi="宋体" w:eastAsia="宋体"/>
                <w:color w:val="000000" w:themeColor="text1"/>
                <w:sz w:val="18"/>
                <w:szCs w:val="18"/>
              </w:rPr>
              <w:t>违反有关保密规定的。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13</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其他</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政府定价成本调查监审</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1.《价格法》第</w:t>
            </w:r>
            <w:r>
              <w:rPr>
                <w:rFonts w:hint="eastAsia" w:ascii="宋体" w:hAnsi="宋体" w:eastAsia="宋体"/>
                <w:color w:val="000000" w:themeColor="text1"/>
                <w:sz w:val="18"/>
                <w:szCs w:val="18"/>
              </w:rPr>
              <w:t>二十一</w:t>
            </w:r>
            <w:r>
              <w:rPr>
                <w:rFonts w:ascii="宋体" w:hAnsi="宋体" w:eastAsia="宋体"/>
                <w:color w:val="000000" w:themeColor="text1"/>
                <w:sz w:val="18"/>
                <w:szCs w:val="18"/>
              </w:rPr>
              <w:t>条、第</w:t>
            </w:r>
            <w:r>
              <w:rPr>
                <w:rFonts w:hint="eastAsia" w:ascii="宋体" w:hAnsi="宋体" w:eastAsia="宋体"/>
                <w:color w:val="000000" w:themeColor="text1"/>
                <w:sz w:val="18"/>
                <w:szCs w:val="18"/>
              </w:rPr>
              <w:t>二十二</w:t>
            </w:r>
            <w:r>
              <w:rPr>
                <w:rFonts w:ascii="宋体" w:hAnsi="宋体" w:eastAsia="宋体"/>
                <w:color w:val="000000" w:themeColor="text1"/>
                <w:sz w:val="18"/>
                <w:szCs w:val="18"/>
              </w:rPr>
              <w:t>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2.《政府制定价格</w:t>
            </w:r>
            <w:r>
              <w:rPr>
                <w:rFonts w:hint="eastAsia" w:ascii="宋体" w:hAnsi="宋体" w:eastAsia="宋体"/>
                <w:color w:val="000000" w:themeColor="text1"/>
                <w:sz w:val="18"/>
                <w:szCs w:val="18"/>
              </w:rPr>
              <w:t>成本</w:t>
            </w:r>
            <w:r>
              <w:rPr>
                <w:rFonts w:ascii="宋体" w:hAnsi="宋体" w:eastAsia="宋体"/>
                <w:color w:val="000000" w:themeColor="text1"/>
                <w:sz w:val="18"/>
                <w:szCs w:val="18"/>
              </w:rPr>
              <w:t>监审办法》（国家发展改革委</w:t>
            </w:r>
            <w:r>
              <w:rPr>
                <w:rFonts w:hint="eastAsia" w:ascii="宋体" w:hAnsi="宋体" w:eastAsia="宋体"/>
                <w:color w:val="000000" w:themeColor="text1"/>
                <w:sz w:val="18"/>
                <w:szCs w:val="18"/>
              </w:rPr>
              <w:t>2017年</w:t>
            </w:r>
            <w:r>
              <w:rPr>
                <w:rFonts w:ascii="宋体" w:hAnsi="宋体" w:eastAsia="宋体"/>
                <w:color w:val="000000" w:themeColor="text1"/>
                <w:sz w:val="18"/>
                <w:szCs w:val="18"/>
              </w:rPr>
              <w:t>第8号令）</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w:t>
            </w:r>
            <w:r>
              <w:rPr>
                <w:rFonts w:hint="eastAsia" w:ascii="宋体" w:hAnsi="宋体" w:eastAsia="宋体"/>
                <w:color w:val="000000" w:themeColor="text1"/>
                <w:sz w:val="18"/>
                <w:szCs w:val="18"/>
              </w:rPr>
              <w:t>.书面通知</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书面通知有关经营者明确成本，监审范围，监审形式，监审期间，以及需要提供的资料和进行实地鉴赏的要求等内容。</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资料初审</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按时对</w:t>
            </w:r>
            <w:r>
              <w:rPr>
                <w:rFonts w:ascii="宋体" w:hAnsi="宋体" w:eastAsia="宋体"/>
                <w:color w:val="000000" w:themeColor="text1"/>
                <w:sz w:val="18"/>
                <w:szCs w:val="18"/>
              </w:rPr>
              <w:t>资料的完整性进行初审，不完整的限期补充。</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3.</w:t>
            </w:r>
            <w:r>
              <w:rPr>
                <w:rFonts w:hint="eastAsia" w:ascii="宋体" w:hAnsi="宋体" w:eastAsia="宋体"/>
                <w:color w:val="000000" w:themeColor="text1"/>
                <w:sz w:val="18"/>
                <w:szCs w:val="18"/>
              </w:rPr>
              <w:t>实地审核</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调查了解经营者生产经营情况，查阅、复制有关资料，按照有关规定对经营者成本进行审核。</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w:t>
            </w:r>
            <w:r>
              <w:rPr>
                <w:rFonts w:hint="eastAsia" w:ascii="宋体" w:hAnsi="宋体" w:eastAsia="宋体"/>
                <w:color w:val="000000" w:themeColor="text1"/>
                <w:sz w:val="18"/>
                <w:szCs w:val="18"/>
              </w:rPr>
              <w:t>出具成本监审报告</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按照</w:t>
            </w:r>
            <w:r>
              <w:rPr>
                <w:rFonts w:ascii="宋体" w:hAnsi="宋体" w:eastAsia="宋体"/>
                <w:color w:val="000000" w:themeColor="text1"/>
                <w:sz w:val="18"/>
                <w:szCs w:val="18"/>
              </w:rPr>
              <w:t>法定程序和</w:t>
            </w:r>
            <w:r>
              <w:rPr>
                <w:rFonts w:hint="eastAsia" w:ascii="宋体" w:hAnsi="宋体" w:eastAsia="宋体"/>
                <w:color w:val="000000" w:themeColor="text1"/>
                <w:sz w:val="18"/>
                <w:szCs w:val="18"/>
              </w:rPr>
              <w:t>内容</w:t>
            </w:r>
            <w:r>
              <w:rPr>
                <w:rFonts w:ascii="宋体" w:hAnsi="宋体" w:eastAsia="宋体"/>
                <w:color w:val="000000" w:themeColor="text1"/>
                <w:sz w:val="18"/>
                <w:szCs w:val="18"/>
              </w:rPr>
              <w:t>出具成本监审报告。</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因不履行或不正确履行行政职责，有下列情形的行政机关及相关工作人员应承担相应的责任：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1.应当</w:t>
            </w:r>
            <w:r>
              <w:rPr>
                <w:rFonts w:ascii="宋体" w:hAnsi="宋体" w:eastAsia="宋体"/>
                <w:color w:val="000000" w:themeColor="text1"/>
                <w:sz w:val="18"/>
                <w:szCs w:val="18"/>
              </w:rPr>
              <w:t>开展成本监审的商品和服务，</w:t>
            </w:r>
            <w:r>
              <w:rPr>
                <w:rFonts w:hint="eastAsia" w:ascii="宋体" w:hAnsi="宋体" w:eastAsia="宋体"/>
                <w:color w:val="000000" w:themeColor="text1"/>
                <w:sz w:val="18"/>
                <w:szCs w:val="18"/>
              </w:rPr>
              <w:t>未</w:t>
            </w:r>
            <w:r>
              <w:rPr>
                <w:rFonts w:ascii="宋体" w:hAnsi="宋体" w:eastAsia="宋体"/>
                <w:color w:val="000000" w:themeColor="text1"/>
                <w:sz w:val="18"/>
                <w:szCs w:val="18"/>
              </w:rPr>
              <w:t>开展成本监审的</w:t>
            </w:r>
            <w:r>
              <w:rPr>
                <w:rFonts w:hint="eastAsia"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泄露国家秘密、商业秘密以及滥用职权、徇私舞弊、玩忽职守、索贿受贿的。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1" w:hRule="atLeast"/>
        </w:trPr>
        <w:tc>
          <w:tcPr>
            <w:tcW w:w="704"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14</w:t>
            </w:r>
          </w:p>
        </w:tc>
        <w:tc>
          <w:tcPr>
            <w:tcW w:w="709"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其他</w:t>
            </w:r>
          </w:p>
        </w:tc>
        <w:tc>
          <w:tcPr>
            <w:tcW w:w="1066"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省定价目录范围内重要商品与服务价格审定</w:t>
            </w:r>
          </w:p>
        </w:tc>
        <w:tc>
          <w:tcPr>
            <w:tcW w:w="782"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发展和改革局</w:t>
            </w: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1.《价格法》第</w:t>
            </w:r>
            <w:r>
              <w:rPr>
                <w:rFonts w:hint="eastAsia" w:ascii="宋体" w:hAnsi="宋体" w:eastAsia="宋体"/>
                <w:color w:val="000000" w:themeColor="text1"/>
                <w:sz w:val="18"/>
                <w:szCs w:val="18"/>
              </w:rPr>
              <w:t>十九</w:t>
            </w:r>
            <w:r>
              <w:rPr>
                <w:rFonts w:ascii="宋体" w:hAnsi="宋体" w:eastAsia="宋体"/>
                <w:color w:val="000000" w:themeColor="text1"/>
                <w:sz w:val="18"/>
                <w:szCs w:val="18"/>
              </w:rPr>
              <w:t>条</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2.《河北省定价目录》（冀价政调〔2018〕42号）</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3.</w:t>
            </w:r>
            <w:r>
              <w:rPr>
                <w:rFonts w:ascii="宋体" w:hAnsi="宋体" w:eastAsia="宋体"/>
                <w:color w:val="000000" w:themeColor="text1"/>
                <w:sz w:val="18"/>
                <w:szCs w:val="18"/>
              </w:rPr>
              <w:t>《政府制定价格行为规则》（</w:t>
            </w:r>
            <w:r>
              <w:rPr>
                <w:rFonts w:hint="eastAsia" w:ascii="宋体" w:hAnsi="宋体" w:eastAsia="宋体"/>
                <w:color w:val="000000" w:themeColor="text1"/>
                <w:sz w:val="18"/>
                <w:szCs w:val="18"/>
              </w:rPr>
              <w:t>国家发展改革委2017年</w:t>
            </w:r>
            <w:r>
              <w:rPr>
                <w:rFonts w:ascii="宋体" w:hAnsi="宋体" w:eastAsia="宋体"/>
                <w:color w:val="000000" w:themeColor="text1"/>
                <w:sz w:val="18"/>
                <w:szCs w:val="18"/>
              </w:rPr>
              <w:t>7</w:t>
            </w:r>
            <w:r>
              <w:rPr>
                <w:rFonts w:hint="eastAsia" w:ascii="宋体" w:hAnsi="宋体" w:eastAsia="宋体"/>
                <w:color w:val="000000" w:themeColor="text1"/>
                <w:sz w:val="18"/>
                <w:szCs w:val="18"/>
              </w:rPr>
              <w:t>号令</w:t>
            </w:r>
            <w:r>
              <w:rPr>
                <w:rFonts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4.《河北省物价局关于印发河北省</w:t>
            </w:r>
            <w:r>
              <w:rPr>
                <w:rFonts w:ascii="宋体" w:hAnsi="宋体" w:eastAsia="宋体"/>
                <w:color w:val="000000" w:themeColor="text1"/>
                <w:sz w:val="18"/>
                <w:szCs w:val="18"/>
              </w:rPr>
              <w:t>〈</w:t>
            </w:r>
            <w:r>
              <w:rPr>
                <w:rFonts w:hint="eastAsia" w:ascii="宋体" w:hAnsi="宋体" w:eastAsia="宋体"/>
                <w:color w:val="000000" w:themeColor="text1"/>
                <w:sz w:val="18"/>
                <w:szCs w:val="18"/>
              </w:rPr>
              <w:t>政府定价行为规则</w:t>
            </w:r>
            <w:r>
              <w:rPr>
                <w:rFonts w:ascii="宋体" w:hAnsi="宋体" w:eastAsia="宋体"/>
                <w:color w:val="000000" w:themeColor="text1"/>
                <w:sz w:val="18"/>
                <w:szCs w:val="18"/>
              </w:rPr>
              <w:t>〉</w:t>
            </w:r>
            <w:r>
              <w:rPr>
                <w:rFonts w:hint="eastAsia" w:ascii="宋体" w:hAnsi="宋体" w:eastAsia="宋体"/>
                <w:color w:val="000000" w:themeColor="text1"/>
                <w:sz w:val="18"/>
                <w:szCs w:val="18"/>
              </w:rPr>
              <w:t>实施细则</w:t>
            </w:r>
            <w:r>
              <w:rPr>
                <w:rFonts w:ascii="宋体" w:hAnsi="宋体" w:eastAsia="宋体"/>
                <w:color w:val="000000" w:themeColor="text1"/>
                <w:sz w:val="18"/>
                <w:szCs w:val="18"/>
              </w:rPr>
              <w:t>的通知</w:t>
            </w:r>
            <w:r>
              <w:rPr>
                <w:rFonts w:hint="eastAsia" w:ascii="宋体" w:hAnsi="宋体" w:eastAsia="宋体"/>
                <w:color w:val="000000" w:themeColor="text1"/>
                <w:sz w:val="18"/>
                <w:szCs w:val="18"/>
              </w:rPr>
              <w:t>》（冀价政调〔</w:t>
            </w:r>
            <w:r>
              <w:rPr>
                <w:rFonts w:ascii="宋体" w:hAnsi="宋体" w:eastAsia="宋体"/>
                <w:color w:val="000000" w:themeColor="text1"/>
                <w:sz w:val="18"/>
                <w:szCs w:val="18"/>
              </w:rPr>
              <w:t>2017〕202号</w:t>
            </w:r>
            <w:r>
              <w:rPr>
                <w:rFonts w:hint="eastAsia" w:ascii="宋体" w:hAnsi="宋体" w:eastAsia="宋体"/>
                <w:color w:val="000000" w:themeColor="text1"/>
                <w:sz w:val="18"/>
                <w:szCs w:val="18"/>
              </w:rPr>
              <w:t>）</w:t>
            </w:r>
          </w:p>
        </w:tc>
        <w:tc>
          <w:tcPr>
            <w:tcW w:w="3827" w:type="dxa"/>
            <w:vAlign w:val="center"/>
          </w:tcPr>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1.价格调查责任</w:t>
            </w:r>
            <w:r>
              <w:rPr>
                <w:rFonts w:ascii="宋体" w:hAnsi="宋体" w:eastAsia="宋体"/>
                <w:color w:val="000000" w:themeColor="text1"/>
                <w:sz w:val="18"/>
                <w:szCs w:val="18"/>
              </w:rPr>
              <w:t>：</w:t>
            </w:r>
            <w:r>
              <w:rPr>
                <w:rFonts w:hint="eastAsia" w:ascii="宋体" w:hAnsi="宋体" w:eastAsia="宋体"/>
                <w:color w:val="000000" w:themeColor="text1"/>
                <w:sz w:val="18"/>
                <w:szCs w:val="18"/>
              </w:rPr>
              <w:t>对</w:t>
            </w:r>
            <w:r>
              <w:rPr>
                <w:rFonts w:ascii="宋体" w:hAnsi="宋体" w:eastAsia="宋体"/>
                <w:color w:val="000000" w:themeColor="text1"/>
                <w:sz w:val="18"/>
                <w:szCs w:val="18"/>
              </w:rPr>
              <w:t>市场供求、社会承受能力进行调查，</w:t>
            </w:r>
            <w:r>
              <w:rPr>
                <w:rFonts w:hint="eastAsia" w:ascii="宋体" w:hAnsi="宋体" w:eastAsia="宋体"/>
                <w:color w:val="000000" w:themeColor="text1"/>
                <w:sz w:val="18"/>
                <w:szCs w:val="18"/>
              </w:rPr>
              <w:t>分析</w:t>
            </w:r>
            <w:r>
              <w:rPr>
                <w:rFonts w:ascii="宋体" w:hAnsi="宋体" w:eastAsia="宋体"/>
                <w:color w:val="000000" w:themeColor="text1"/>
                <w:sz w:val="18"/>
                <w:szCs w:val="18"/>
              </w:rPr>
              <w:t>对相关行业和消费者的影响。</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成本监审</w:t>
            </w:r>
            <w:r>
              <w:rPr>
                <w:rFonts w:ascii="宋体" w:hAnsi="宋体" w:eastAsia="宋体"/>
                <w:color w:val="000000" w:themeColor="text1"/>
                <w:sz w:val="18"/>
                <w:szCs w:val="18"/>
              </w:rPr>
              <w:t>或者</w:t>
            </w:r>
            <w:r>
              <w:rPr>
                <w:rFonts w:hint="eastAsia" w:ascii="宋体" w:hAnsi="宋体" w:eastAsia="宋体"/>
                <w:color w:val="000000" w:themeColor="text1"/>
                <w:sz w:val="18"/>
                <w:szCs w:val="18"/>
              </w:rPr>
              <w:t>成本调查</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3.听取意见责任</w:t>
            </w:r>
            <w:r>
              <w:rPr>
                <w:rFonts w:ascii="宋体" w:hAnsi="宋体" w:eastAsia="宋体"/>
                <w:color w:val="000000" w:themeColor="text1"/>
                <w:sz w:val="18"/>
                <w:szCs w:val="18"/>
              </w:rPr>
              <w:t>：</w:t>
            </w:r>
            <w:r>
              <w:rPr>
                <w:rFonts w:hint="eastAsia" w:ascii="宋体" w:hAnsi="宋体" w:eastAsia="宋体"/>
                <w:color w:val="000000" w:themeColor="text1"/>
                <w:sz w:val="18"/>
                <w:szCs w:val="18"/>
              </w:rPr>
              <w:t>听取经营者、消费者或其代</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表，以及有关方面的意见。对依法应当通过听证方式征求意见的，按照价格听证的有关规定开展听证。</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4.</w:t>
            </w:r>
            <w:r>
              <w:rPr>
                <w:rFonts w:hint="eastAsia" w:ascii="宋体" w:hAnsi="宋体" w:eastAsia="宋体"/>
                <w:color w:val="000000" w:themeColor="text1"/>
                <w:sz w:val="18"/>
                <w:szCs w:val="18"/>
              </w:rPr>
              <w:t>合法性审查</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审查是否</w:t>
            </w:r>
            <w:r>
              <w:rPr>
                <w:rFonts w:ascii="宋体" w:hAnsi="宋体" w:eastAsia="宋体"/>
                <w:color w:val="000000" w:themeColor="text1"/>
                <w:sz w:val="18"/>
                <w:szCs w:val="18"/>
              </w:rPr>
              <w:t>符合</w:t>
            </w:r>
            <w:r>
              <w:rPr>
                <w:rFonts w:hint="eastAsia" w:ascii="宋体" w:hAnsi="宋体" w:eastAsia="宋体"/>
                <w:color w:val="000000" w:themeColor="text1"/>
                <w:sz w:val="18"/>
                <w:szCs w:val="18"/>
              </w:rPr>
              <w:t>定价目录规定的权限和范围、程序是否合法</w:t>
            </w:r>
            <w:r>
              <w:rPr>
                <w:rFonts w:ascii="宋体" w:hAnsi="宋体" w:eastAsia="宋体"/>
                <w:color w:val="000000" w:themeColor="text1"/>
                <w:sz w:val="18"/>
                <w:szCs w:val="18"/>
              </w:rPr>
              <w:t>等事项。</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5.集体审议</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定价事项</w:t>
            </w:r>
            <w:r>
              <w:rPr>
                <w:rFonts w:ascii="宋体" w:hAnsi="宋体" w:eastAsia="宋体"/>
                <w:color w:val="000000" w:themeColor="text1"/>
                <w:sz w:val="18"/>
                <w:szCs w:val="18"/>
              </w:rPr>
              <w:t>由会议集体审议。</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6.</w:t>
            </w:r>
            <w:r>
              <w:rPr>
                <w:rFonts w:hint="eastAsia" w:ascii="宋体" w:hAnsi="宋体" w:eastAsia="宋体"/>
                <w:color w:val="000000" w:themeColor="text1"/>
                <w:sz w:val="18"/>
                <w:szCs w:val="18"/>
              </w:rPr>
              <w:t>制定价格决定</w:t>
            </w:r>
            <w:r>
              <w:rPr>
                <w:rFonts w:ascii="宋体" w:hAnsi="宋体" w:eastAsia="宋体"/>
                <w:color w:val="000000" w:themeColor="text1"/>
                <w:sz w:val="18"/>
                <w:szCs w:val="18"/>
              </w:rPr>
              <w:t>责任：</w:t>
            </w:r>
            <w:r>
              <w:rPr>
                <w:rFonts w:hint="eastAsia" w:ascii="宋体" w:hAnsi="宋体" w:eastAsia="宋体"/>
                <w:color w:val="000000" w:themeColor="text1"/>
                <w:sz w:val="18"/>
                <w:szCs w:val="18"/>
              </w:rPr>
              <w:t>执行上述程序，</w:t>
            </w:r>
            <w:r>
              <w:rPr>
                <w:rFonts w:ascii="宋体" w:hAnsi="宋体" w:eastAsia="宋体"/>
                <w:color w:val="000000" w:themeColor="text1"/>
                <w:sz w:val="18"/>
                <w:szCs w:val="18"/>
              </w:rPr>
              <w:t>需要制定价格的，作出决定</w:t>
            </w:r>
            <w:r>
              <w:rPr>
                <w:rFonts w:hint="eastAsia" w:ascii="宋体" w:hAnsi="宋体" w:eastAsia="宋体"/>
                <w:color w:val="000000" w:themeColor="text1"/>
                <w:sz w:val="18"/>
                <w:szCs w:val="18"/>
              </w:rPr>
              <w:t>。</w:t>
            </w: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因不履行或不正确履行行政职责，有下列情形的行政机关及相关工作人员应承担相应的责任：</w:t>
            </w:r>
          </w:p>
          <w:p>
            <w:pPr>
              <w:tabs>
                <w:tab w:val="left" w:pos="7937"/>
              </w:tabs>
              <w:spacing w:line="280" w:lineRule="exact"/>
              <w:rPr>
                <w:rFonts w:ascii="宋体" w:hAnsi="宋体" w:eastAsia="宋体"/>
                <w:color w:val="000000" w:themeColor="text1"/>
                <w:sz w:val="18"/>
                <w:szCs w:val="18"/>
              </w:rPr>
            </w:pPr>
            <w:r>
              <w:rPr>
                <w:rFonts w:hint="eastAsia" w:ascii="宋体" w:hAnsi="宋体" w:eastAsia="宋体"/>
                <w:color w:val="000000" w:themeColor="text1"/>
                <w:sz w:val="18"/>
                <w:szCs w:val="18"/>
              </w:rPr>
              <w:t>1.定价机关有违法行为的；</w:t>
            </w:r>
          </w:p>
          <w:p>
            <w:pPr>
              <w:tabs>
                <w:tab w:val="left" w:pos="7937"/>
              </w:tabs>
              <w:spacing w:line="280" w:lineRule="exact"/>
              <w:rPr>
                <w:rFonts w:ascii="宋体" w:hAnsi="宋体" w:eastAsia="宋体"/>
                <w:color w:val="000000" w:themeColor="text1"/>
                <w:sz w:val="18"/>
                <w:szCs w:val="18"/>
              </w:rPr>
            </w:pPr>
            <w:r>
              <w:rPr>
                <w:rFonts w:ascii="宋体" w:hAnsi="宋体" w:eastAsia="宋体"/>
                <w:color w:val="000000" w:themeColor="text1"/>
                <w:sz w:val="18"/>
                <w:szCs w:val="18"/>
              </w:rPr>
              <w:t>2.</w:t>
            </w:r>
            <w:r>
              <w:rPr>
                <w:rFonts w:hint="eastAsia" w:ascii="宋体" w:hAnsi="宋体" w:eastAsia="宋体"/>
                <w:color w:val="000000" w:themeColor="text1"/>
                <w:sz w:val="18"/>
                <w:szCs w:val="18"/>
              </w:rPr>
              <w:t>定价机关的工作人员在制定价格工作中有违法行为的。</w:t>
            </w: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04" w:type="dxa"/>
            <w:vAlign w:val="center"/>
          </w:tcPr>
          <w:p>
            <w:pPr>
              <w:tabs>
                <w:tab w:val="left" w:pos="7937"/>
              </w:tabs>
              <w:spacing w:line="280" w:lineRule="exact"/>
              <w:rPr>
                <w:rFonts w:hint="default" w:ascii="宋体" w:hAnsi="宋体" w:eastAsia="宋体"/>
                <w:color w:val="000000" w:themeColor="text1"/>
                <w:sz w:val="18"/>
                <w:szCs w:val="18"/>
                <w:lang w:val="en-US" w:eastAsia="zh-CN"/>
              </w:rPr>
            </w:pPr>
            <w:r>
              <w:rPr>
                <w:rFonts w:hint="eastAsia" w:ascii="宋体" w:hAnsi="宋体" w:eastAsia="宋体"/>
                <w:color w:val="000000" w:themeColor="text1"/>
                <w:sz w:val="18"/>
                <w:szCs w:val="18"/>
                <w:lang w:val="en-US" w:eastAsia="zh-CN"/>
              </w:rPr>
              <w:t>15</w:t>
            </w:r>
          </w:p>
        </w:tc>
        <w:tc>
          <w:tcPr>
            <w:tcW w:w="709"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行政确认</w:t>
            </w:r>
          </w:p>
        </w:tc>
        <w:tc>
          <w:tcPr>
            <w:tcW w:w="1066"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出具劳务人员出境证明</w:t>
            </w:r>
          </w:p>
        </w:tc>
        <w:tc>
          <w:tcPr>
            <w:tcW w:w="782"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发展和改革局</w:t>
            </w:r>
            <w:r>
              <w:rPr>
                <w:rFonts w:hint="eastAsia" w:ascii="宋体" w:hAnsi="宋体" w:eastAsia="宋体"/>
                <w:color w:val="000000" w:themeColor="text1"/>
                <w:sz w:val="18"/>
                <w:szCs w:val="18"/>
                <w:lang w:eastAsia="zh-CN"/>
              </w:rPr>
              <w:t>（商务局）</w:t>
            </w: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《对外劳务合作管理条例》《对外劳务合作项目审查有关问题的补充通知》</w:t>
            </w:r>
          </w:p>
          <w:p>
            <w:pPr>
              <w:tabs>
                <w:tab w:val="left" w:pos="7937"/>
              </w:tabs>
              <w:spacing w:line="280" w:lineRule="exact"/>
              <w:rPr>
                <w:rFonts w:hint="eastAsia" w:ascii="宋体" w:hAnsi="宋体" w:eastAsia="宋体"/>
                <w:color w:val="000000" w:themeColor="text1"/>
                <w:sz w:val="18"/>
                <w:szCs w:val="18"/>
                <w:lang w:val="en-US" w:eastAsia="zh-CN"/>
              </w:rPr>
            </w:pPr>
          </w:p>
        </w:tc>
        <w:tc>
          <w:tcPr>
            <w:tcW w:w="3827" w:type="dxa"/>
            <w:vAlign w:val="center"/>
          </w:tcPr>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1、受理责任:公示依法应当提交的材料（1）企业申请书（外派劳务企业盖章.法定代表人签字）；（2）外派劳务项目审查批件原件；（3）劳务人员有效护照、身份证、培训合格证复印件；（4）我国驻外使（领）馆经商机构的意见复印件；（5）外派劳务企业与境外雇主签订的《对外劳务合作合同（协议）》复印件。（以上材料全部一式一份）</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。一次性告知补正材料。</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2、审查责任:企业提供材料符合要求的，予以出具。</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3、决定责任：做出申请人是否通过确认的决定，不符合要求的当面通知申请人。</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4、送达责任：通过确认的，出具证明。</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5、事后监管责任：无。</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6、相关法律规定的其他情形。</w:t>
            </w:r>
          </w:p>
          <w:p>
            <w:pPr>
              <w:tabs>
                <w:tab w:val="left" w:pos="7937"/>
              </w:tabs>
              <w:spacing w:line="280" w:lineRule="exact"/>
              <w:rPr>
                <w:rFonts w:hint="eastAsia" w:ascii="宋体" w:hAnsi="宋体" w:eastAsia="宋体"/>
                <w:color w:val="000000" w:themeColor="text1"/>
                <w:sz w:val="18"/>
                <w:szCs w:val="18"/>
                <w:lang w:val="en-US" w:eastAsia="zh-CN"/>
              </w:rPr>
            </w:pP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因不履行或不正确履行行政职责，有下列情形的，行政机关及相关工作人员应承担相应责任：1.未履行法定告知义务的2.其他违反法律法规规章文件规定的行为。</w:t>
            </w: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lang w:val="en-US" w:eastAsia="zh-CN"/>
              </w:rPr>
            </w:pPr>
          </w:p>
        </w:tc>
        <w:tc>
          <w:tcPr>
            <w:tcW w:w="709" w:type="dxa"/>
            <w:vAlign w:val="center"/>
          </w:tcPr>
          <w:p>
            <w:pPr>
              <w:tabs>
                <w:tab w:val="left" w:pos="7937"/>
              </w:tabs>
              <w:spacing w:line="280" w:lineRule="exact"/>
              <w:rPr>
                <w:rFonts w:hint="eastAsia" w:ascii="宋体" w:hAnsi="宋体" w:eastAsia="宋体"/>
                <w:color w:val="000000" w:themeColor="text1"/>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04" w:type="dxa"/>
            <w:vAlign w:val="center"/>
          </w:tcPr>
          <w:p>
            <w:pPr>
              <w:tabs>
                <w:tab w:val="left" w:pos="7937"/>
              </w:tabs>
              <w:spacing w:line="280" w:lineRule="exact"/>
              <w:rPr>
                <w:rFonts w:hint="default" w:ascii="宋体" w:hAnsi="宋体" w:eastAsia="宋体"/>
                <w:color w:val="000000" w:themeColor="text1"/>
                <w:sz w:val="18"/>
                <w:szCs w:val="18"/>
                <w:lang w:val="en-US" w:eastAsia="zh-CN"/>
              </w:rPr>
            </w:pPr>
            <w:r>
              <w:rPr>
                <w:rFonts w:hint="eastAsia" w:ascii="宋体" w:hAnsi="宋体" w:eastAsia="宋体"/>
                <w:color w:val="000000" w:themeColor="text1"/>
                <w:sz w:val="18"/>
                <w:szCs w:val="18"/>
                <w:lang w:val="en-US" w:eastAsia="zh-CN"/>
              </w:rPr>
              <w:t>16</w:t>
            </w:r>
          </w:p>
        </w:tc>
        <w:tc>
          <w:tcPr>
            <w:tcW w:w="709"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其他权力</w:t>
            </w:r>
          </w:p>
        </w:tc>
        <w:tc>
          <w:tcPr>
            <w:tcW w:w="1066"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对外贸易经营者备案登记</w:t>
            </w:r>
          </w:p>
        </w:tc>
        <w:tc>
          <w:tcPr>
            <w:tcW w:w="782"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发展和改革局</w:t>
            </w:r>
            <w:r>
              <w:rPr>
                <w:rFonts w:hint="eastAsia" w:ascii="宋体" w:hAnsi="宋体" w:eastAsia="宋体"/>
                <w:color w:val="000000" w:themeColor="text1"/>
                <w:sz w:val="18"/>
                <w:szCs w:val="18"/>
                <w:lang w:eastAsia="zh-CN"/>
              </w:rPr>
              <w:t>（商务局）</w:t>
            </w: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《外贸法》和《对外贸易经营者备案登记办法》有关条例冀商外贸函</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2、[2019]19号 河北省商务厅关于转发商务部《关于进一步优化对外贸易经营者备案登记工作的通知》</w:t>
            </w:r>
          </w:p>
          <w:p>
            <w:pPr>
              <w:tabs>
                <w:tab w:val="left" w:pos="7937"/>
              </w:tabs>
              <w:spacing w:line="280" w:lineRule="exact"/>
              <w:rPr>
                <w:rFonts w:hint="eastAsia" w:ascii="宋体" w:hAnsi="宋体" w:eastAsia="宋体"/>
                <w:color w:val="000000" w:themeColor="text1"/>
                <w:sz w:val="18"/>
                <w:szCs w:val="18"/>
                <w:lang w:val="en-US" w:eastAsia="zh-CN"/>
              </w:rPr>
            </w:pPr>
          </w:p>
        </w:tc>
        <w:tc>
          <w:tcPr>
            <w:tcW w:w="3827" w:type="dxa"/>
            <w:vAlign w:val="center"/>
          </w:tcPr>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1、受理责任:公示依法应当提交的材料: 对外贸易经营者先行上网登录资料。网址是:htp ecms mofcom. govcn，在线填写《对外贸易经营者备案登记表》(以下简称《登记表》)，提交成功后，在打印出的《登记表》第二页盖公司公章、法人代表签字。2、营业执照(三证合一，18位统一社会信用代码)法人身份证，办事人员身份证4、介绍信。备注:以上证件均需原件及复印件，并通知去市局办理。</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2、审查责任:无。在市局办理，不在我局。</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3、决定责任: 无。在市局办理，不在我局。</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4、送达责任:在市局通过确认的，将复印件送至我局备案。</w:t>
            </w:r>
          </w:p>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5、其他法律法规规章文件规定应履行的责任。</w:t>
            </w:r>
          </w:p>
        </w:tc>
        <w:tc>
          <w:tcPr>
            <w:tcW w:w="3260"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因不履行或不正确履行行政职责，有下列情形的，行政机关及相关工作人员应承担相应责任：1.未履行法定告知义务的2.其他违反法律法规规章文件规定的行为。</w:t>
            </w:r>
          </w:p>
        </w:tc>
        <w:tc>
          <w:tcPr>
            <w:tcW w:w="709" w:type="dxa"/>
            <w:vAlign w:val="center"/>
          </w:tcPr>
          <w:p>
            <w:pPr>
              <w:tabs>
                <w:tab w:val="left" w:pos="7937"/>
              </w:tabs>
              <w:spacing w:line="280" w:lineRule="exact"/>
              <w:rPr>
                <w:rFonts w:hint="eastAsia" w:ascii="宋体" w:hAnsi="宋体" w:eastAsia="宋体"/>
                <w:color w:val="000000" w:themeColor="text1"/>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704" w:type="dxa"/>
            <w:vAlign w:val="center"/>
          </w:tcPr>
          <w:p>
            <w:pPr>
              <w:tabs>
                <w:tab w:val="left" w:pos="7937"/>
              </w:tabs>
              <w:spacing w:line="280" w:lineRule="exact"/>
              <w:rPr>
                <w:rFonts w:hint="default" w:ascii="宋体" w:hAnsi="宋体" w:eastAsia="宋体"/>
                <w:color w:val="000000" w:themeColor="text1"/>
                <w:sz w:val="18"/>
                <w:szCs w:val="18"/>
                <w:lang w:val="en-US" w:eastAsia="zh-CN"/>
              </w:rPr>
            </w:pPr>
            <w:r>
              <w:rPr>
                <w:rFonts w:hint="eastAsia" w:ascii="宋体" w:hAnsi="宋体" w:eastAsia="宋体"/>
                <w:color w:val="000000" w:themeColor="text1"/>
                <w:sz w:val="18"/>
                <w:szCs w:val="18"/>
                <w:lang w:val="en-US" w:eastAsia="zh-CN"/>
              </w:rPr>
              <w:t>17</w:t>
            </w:r>
          </w:p>
        </w:tc>
        <w:tc>
          <w:tcPr>
            <w:tcW w:w="709"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其他权力</w:t>
            </w:r>
          </w:p>
        </w:tc>
        <w:tc>
          <w:tcPr>
            <w:tcW w:w="1066"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单用途商业预付卡其他发卡企业（除集团发卡企业、品牌发卡企业和规模发卡企业外的企业）备案</w:t>
            </w:r>
          </w:p>
        </w:tc>
        <w:tc>
          <w:tcPr>
            <w:tcW w:w="782"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发展和改革局</w:t>
            </w:r>
            <w:r>
              <w:rPr>
                <w:rFonts w:hint="eastAsia" w:ascii="宋体" w:hAnsi="宋体" w:eastAsia="宋体"/>
                <w:color w:val="000000" w:themeColor="text1"/>
                <w:sz w:val="18"/>
                <w:szCs w:val="18"/>
                <w:lang w:val="en-US" w:eastAsia="zh-CN"/>
              </w:rPr>
              <w:t>(商务局）</w:t>
            </w:r>
          </w:p>
        </w:tc>
        <w:tc>
          <w:tcPr>
            <w:tcW w:w="3260"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《单用途商业预付卡管理办法》第二章</w:t>
            </w:r>
          </w:p>
        </w:tc>
        <w:tc>
          <w:tcPr>
            <w:tcW w:w="3827" w:type="dxa"/>
            <w:vAlign w:val="center"/>
          </w:tcPr>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1、受理责任:公示依法应当提交的材料:《单用途卡发卡企业备案表》、《企业法人营业执照》（副本）复印件、《单用途卡发卡企业备案表》可以从备案机关处领取或通过商务部网站（www.mofcom.gov.cn）下载。一次性告知补正材料。</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2、审查责任:企业提供材料符合要求的，予以备案。</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3、决定责任：做出申请人是否通过确认的决定，不符合要求的当面通知申请人。</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4、送达责任：通过确认的，将备案表交给企业，完成备案。</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5、事后监管责任：对完成备案的企业进行日常监督检查，并根据检查情况作出警告、责令改正或撤销备案的决定。</w:t>
            </w:r>
          </w:p>
          <w:p>
            <w:pPr>
              <w:tabs>
                <w:tab w:val="left" w:pos="7937"/>
              </w:tabs>
              <w:spacing w:line="280" w:lineRule="exact"/>
              <w:rPr>
                <w:rFonts w:hint="eastAsia" w:ascii="宋体" w:hAnsi="宋体" w:eastAsia="宋体"/>
                <w:color w:val="000000" w:themeColor="text1"/>
                <w:sz w:val="18"/>
                <w:szCs w:val="18"/>
              </w:rPr>
            </w:pPr>
            <w:r>
              <w:rPr>
                <w:rFonts w:hint="eastAsia" w:ascii="宋体" w:hAnsi="宋体" w:eastAsia="宋体"/>
                <w:color w:val="000000" w:themeColor="text1"/>
                <w:sz w:val="18"/>
                <w:szCs w:val="18"/>
              </w:rPr>
              <w:t>6、《单用途商业预付卡管理办法》规定的其他情形。</w:t>
            </w: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rPr>
            </w:pPr>
          </w:p>
          <w:p>
            <w:pPr>
              <w:tabs>
                <w:tab w:val="left" w:pos="7937"/>
              </w:tabs>
              <w:spacing w:line="280" w:lineRule="exact"/>
              <w:rPr>
                <w:rFonts w:hint="eastAsia" w:ascii="宋体" w:hAnsi="宋体" w:eastAsia="宋体"/>
                <w:color w:val="000000" w:themeColor="text1"/>
                <w:sz w:val="18"/>
                <w:szCs w:val="18"/>
                <w:lang w:val="en-US" w:eastAsia="zh-CN"/>
              </w:rPr>
            </w:pPr>
          </w:p>
        </w:tc>
        <w:tc>
          <w:tcPr>
            <w:tcW w:w="3260" w:type="dxa"/>
            <w:vAlign w:val="center"/>
          </w:tcPr>
          <w:p>
            <w:pPr>
              <w:tabs>
                <w:tab w:val="left" w:pos="7937"/>
              </w:tabs>
              <w:spacing w:line="280" w:lineRule="exact"/>
              <w:rPr>
                <w:rFonts w:hint="eastAsia" w:ascii="宋体" w:hAnsi="宋体" w:eastAsia="宋体"/>
                <w:color w:val="000000" w:themeColor="text1"/>
                <w:sz w:val="18"/>
                <w:szCs w:val="18"/>
                <w:lang w:val="en-US" w:eastAsia="zh-CN"/>
              </w:rPr>
            </w:pPr>
            <w:r>
              <w:rPr>
                <w:rFonts w:hint="eastAsia" w:ascii="宋体" w:hAnsi="宋体" w:eastAsia="宋体"/>
                <w:color w:val="000000" w:themeColor="text1"/>
                <w:sz w:val="18"/>
                <w:szCs w:val="18"/>
              </w:rPr>
              <w:t>因不履行或不正确履行行政职责，有下列情形的，行政机关及相关工作人员应承担相应责任：1.未履行法定告知义务的2.其他违反法律法规规章文件规定的行为。</w:t>
            </w:r>
          </w:p>
        </w:tc>
        <w:tc>
          <w:tcPr>
            <w:tcW w:w="709" w:type="dxa"/>
            <w:vAlign w:val="center"/>
          </w:tcPr>
          <w:p>
            <w:pPr>
              <w:tabs>
                <w:tab w:val="left" w:pos="7937"/>
              </w:tabs>
              <w:spacing w:line="280" w:lineRule="exact"/>
              <w:rPr>
                <w:rFonts w:hint="eastAsia" w:ascii="宋体" w:hAnsi="宋体" w:eastAsia="宋体"/>
                <w:color w:val="000000" w:themeColor="text1"/>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704" w:type="dxa"/>
            <w:vAlign w:val="center"/>
          </w:tcPr>
          <w:p>
            <w:pPr>
              <w:tabs>
                <w:tab w:val="left" w:pos="7937"/>
              </w:tabs>
              <w:spacing w:line="280" w:lineRule="exact"/>
              <w:rPr>
                <w:rFonts w:hint="eastAsia" w:ascii="宋体" w:hAnsi="宋体" w:eastAsia="宋体"/>
                <w:color w:val="000000" w:themeColor="text1"/>
                <w:sz w:val="18"/>
                <w:szCs w:val="18"/>
              </w:rPr>
            </w:pPr>
          </w:p>
        </w:tc>
        <w:tc>
          <w:tcPr>
            <w:tcW w:w="709" w:type="dxa"/>
            <w:vAlign w:val="center"/>
          </w:tcPr>
          <w:p>
            <w:pPr>
              <w:tabs>
                <w:tab w:val="left" w:pos="7937"/>
              </w:tabs>
              <w:spacing w:line="280" w:lineRule="exact"/>
              <w:rPr>
                <w:rFonts w:hint="eastAsia" w:ascii="宋体" w:hAnsi="宋体" w:eastAsia="宋体"/>
                <w:color w:val="000000" w:themeColor="text1"/>
                <w:sz w:val="18"/>
                <w:szCs w:val="18"/>
              </w:rPr>
            </w:pPr>
          </w:p>
        </w:tc>
        <w:tc>
          <w:tcPr>
            <w:tcW w:w="1066" w:type="dxa"/>
            <w:vAlign w:val="center"/>
          </w:tcPr>
          <w:p>
            <w:pPr>
              <w:tabs>
                <w:tab w:val="left" w:pos="7937"/>
              </w:tabs>
              <w:spacing w:line="280" w:lineRule="exact"/>
              <w:rPr>
                <w:rFonts w:hint="eastAsia" w:ascii="宋体" w:hAnsi="宋体" w:eastAsia="宋体"/>
                <w:color w:val="000000" w:themeColor="text1"/>
                <w:sz w:val="18"/>
                <w:szCs w:val="18"/>
              </w:rPr>
            </w:pPr>
          </w:p>
        </w:tc>
        <w:tc>
          <w:tcPr>
            <w:tcW w:w="782" w:type="dxa"/>
            <w:vAlign w:val="center"/>
          </w:tcPr>
          <w:p>
            <w:pPr>
              <w:tabs>
                <w:tab w:val="left" w:pos="7937"/>
              </w:tabs>
              <w:spacing w:line="280" w:lineRule="exact"/>
              <w:rPr>
                <w:rFonts w:hint="eastAsia" w:ascii="宋体" w:hAnsi="宋体" w:eastAsia="宋体"/>
                <w:color w:val="000000" w:themeColor="text1"/>
                <w:sz w:val="18"/>
                <w:szCs w:val="18"/>
              </w:rPr>
            </w:pP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704" w:type="dxa"/>
            <w:vAlign w:val="center"/>
          </w:tcPr>
          <w:p>
            <w:pPr>
              <w:tabs>
                <w:tab w:val="left" w:pos="7937"/>
              </w:tabs>
              <w:spacing w:line="280" w:lineRule="exact"/>
              <w:rPr>
                <w:rFonts w:hint="eastAsia" w:ascii="宋体" w:hAnsi="宋体" w:eastAsia="宋体"/>
                <w:color w:val="000000" w:themeColor="text1"/>
                <w:sz w:val="18"/>
                <w:szCs w:val="18"/>
              </w:rPr>
            </w:pPr>
          </w:p>
        </w:tc>
        <w:tc>
          <w:tcPr>
            <w:tcW w:w="709" w:type="dxa"/>
            <w:vAlign w:val="center"/>
          </w:tcPr>
          <w:p>
            <w:pPr>
              <w:tabs>
                <w:tab w:val="left" w:pos="7937"/>
              </w:tabs>
              <w:spacing w:line="280" w:lineRule="exact"/>
              <w:rPr>
                <w:rFonts w:hint="eastAsia" w:ascii="宋体" w:hAnsi="宋体" w:eastAsia="宋体"/>
                <w:color w:val="000000" w:themeColor="text1"/>
                <w:sz w:val="18"/>
                <w:szCs w:val="18"/>
              </w:rPr>
            </w:pPr>
          </w:p>
        </w:tc>
        <w:tc>
          <w:tcPr>
            <w:tcW w:w="1066" w:type="dxa"/>
            <w:vAlign w:val="center"/>
          </w:tcPr>
          <w:p>
            <w:pPr>
              <w:tabs>
                <w:tab w:val="left" w:pos="7937"/>
              </w:tabs>
              <w:spacing w:line="280" w:lineRule="exact"/>
              <w:rPr>
                <w:rFonts w:hint="eastAsia" w:ascii="宋体" w:hAnsi="宋体" w:eastAsia="宋体"/>
                <w:color w:val="000000" w:themeColor="text1"/>
                <w:sz w:val="18"/>
                <w:szCs w:val="18"/>
              </w:rPr>
            </w:pPr>
          </w:p>
        </w:tc>
        <w:tc>
          <w:tcPr>
            <w:tcW w:w="782" w:type="dxa"/>
            <w:vAlign w:val="center"/>
          </w:tcPr>
          <w:p>
            <w:pPr>
              <w:tabs>
                <w:tab w:val="left" w:pos="7937"/>
              </w:tabs>
              <w:spacing w:line="280" w:lineRule="exact"/>
              <w:rPr>
                <w:rFonts w:hint="eastAsia" w:ascii="宋体" w:hAnsi="宋体" w:eastAsia="宋体"/>
                <w:color w:val="000000" w:themeColor="text1"/>
                <w:sz w:val="18"/>
                <w:szCs w:val="18"/>
              </w:rPr>
            </w:pP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704" w:type="dxa"/>
            <w:vAlign w:val="center"/>
          </w:tcPr>
          <w:p>
            <w:pPr>
              <w:tabs>
                <w:tab w:val="left" w:pos="7937"/>
              </w:tabs>
              <w:spacing w:line="280" w:lineRule="exact"/>
              <w:rPr>
                <w:rFonts w:hint="eastAsia" w:ascii="宋体" w:hAnsi="宋体" w:eastAsia="宋体"/>
                <w:color w:val="000000" w:themeColor="text1"/>
                <w:sz w:val="18"/>
                <w:szCs w:val="18"/>
              </w:rPr>
            </w:pPr>
          </w:p>
        </w:tc>
        <w:tc>
          <w:tcPr>
            <w:tcW w:w="709" w:type="dxa"/>
            <w:vAlign w:val="center"/>
          </w:tcPr>
          <w:p>
            <w:pPr>
              <w:tabs>
                <w:tab w:val="left" w:pos="7937"/>
              </w:tabs>
              <w:spacing w:line="280" w:lineRule="exact"/>
              <w:rPr>
                <w:rFonts w:hint="eastAsia" w:ascii="宋体" w:hAnsi="宋体" w:eastAsia="宋体"/>
                <w:color w:val="000000" w:themeColor="text1"/>
                <w:sz w:val="18"/>
                <w:szCs w:val="18"/>
              </w:rPr>
            </w:pPr>
          </w:p>
        </w:tc>
        <w:tc>
          <w:tcPr>
            <w:tcW w:w="1066" w:type="dxa"/>
            <w:vAlign w:val="center"/>
          </w:tcPr>
          <w:p>
            <w:pPr>
              <w:tabs>
                <w:tab w:val="left" w:pos="7937"/>
              </w:tabs>
              <w:spacing w:line="280" w:lineRule="exact"/>
              <w:rPr>
                <w:rFonts w:hint="eastAsia" w:ascii="宋体" w:hAnsi="宋体" w:eastAsia="宋体"/>
                <w:color w:val="000000" w:themeColor="text1"/>
                <w:sz w:val="18"/>
                <w:szCs w:val="18"/>
              </w:rPr>
            </w:pPr>
          </w:p>
        </w:tc>
        <w:tc>
          <w:tcPr>
            <w:tcW w:w="782" w:type="dxa"/>
            <w:vAlign w:val="center"/>
          </w:tcPr>
          <w:p>
            <w:pPr>
              <w:tabs>
                <w:tab w:val="left" w:pos="7937"/>
              </w:tabs>
              <w:spacing w:line="280" w:lineRule="exact"/>
              <w:rPr>
                <w:rFonts w:hint="eastAsia" w:ascii="宋体" w:hAnsi="宋体" w:eastAsia="宋体"/>
                <w:color w:val="000000" w:themeColor="text1"/>
                <w:sz w:val="18"/>
                <w:szCs w:val="18"/>
              </w:rPr>
            </w:pP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704" w:type="dxa"/>
            <w:vAlign w:val="center"/>
          </w:tcPr>
          <w:p>
            <w:pPr>
              <w:tabs>
                <w:tab w:val="left" w:pos="7937"/>
              </w:tabs>
              <w:spacing w:line="280" w:lineRule="exact"/>
              <w:rPr>
                <w:rFonts w:hint="eastAsia" w:ascii="宋体" w:hAnsi="宋体" w:eastAsia="宋体"/>
                <w:color w:val="000000" w:themeColor="text1"/>
                <w:sz w:val="18"/>
                <w:szCs w:val="18"/>
              </w:rPr>
            </w:pPr>
          </w:p>
        </w:tc>
        <w:tc>
          <w:tcPr>
            <w:tcW w:w="709" w:type="dxa"/>
            <w:vAlign w:val="center"/>
          </w:tcPr>
          <w:p>
            <w:pPr>
              <w:tabs>
                <w:tab w:val="left" w:pos="7937"/>
              </w:tabs>
              <w:spacing w:line="280" w:lineRule="exact"/>
              <w:rPr>
                <w:rFonts w:hint="eastAsia" w:ascii="宋体" w:hAnsi="宋体" w:eastAsia="宋体"/>
                <w:color w:val="000000" w:themeColor="text1"/>
                <w:sz w:val="18"/>
                <w:szCs w:val="18"/>
              </w:rPr>
            </w:pPr>
          </w:p>
        </w:tc>
        <w:tc>
          <w:tcPr>
            <w:tcW w:w="1066" w:type="dxa"/>
            <w:vAlign w:val="center"/>
          </w:tcPr>
          <w:p>
            <w:pPr>
              <w:tabs>
                <w:tab w:val="left" w:pos="7937"/>
              </w:tabs>
              <w:spacing w:line="280" w:lineRule="exact"/>
              <w:rPr>
                <w:rFonts w:hint="eastAsia" w:ascii="宋体" w:hAnsi="宋体" w:eastAsia="宋体"/>
                <w:color w:val="000000" w:themeColor="text1"/>
                <w:sz w:val="18"/>
                <w:szCs w:val="18"/>
              </w:rPr>
            </w:pPr>
          </w:p>
        </w:tc>
        <w:tc>
          <w:tcPr>
            <w:tcW w:w="782" w:type="dxa"/>
            <w:vAlign w:val="center"/>
          </w:tcPr>
          <w:p>
            <w:pPr>
              <w:tabs>
                <w:tab w:val="left" w:pos="7937"/>
              </w:tabs>
              <w:spacing w:line="280" w:lineRule="exact"/>
              <w:rPr>
                <w:rFonts w:hint="eastAsia" w:ascii="宋体" w:hAnsi="宋体" w:eastAsia="宋体"/>
                <w:color w:val="000000" w:themeColor="text1"/>
                <w:sz w:val="18"/>
                <w:szCs w:val="18"/>
              </w:rPr>
            </w:pPr>
          </w:p>
        </w:tc>
        <w:tc>
          <w:tcPr>
            <w:tcW w:w="3260" w:type="dxa"/>
            <w:vAlign w:val="center"/>
          </w:tcPr>
          <w:p>
            <w:pPr>
              <w:tabs>
                <w:tab w:val="left" w:pos="7937"/>
              </w:tabs>
              <w:spacing w:line="280" w:lineRule="exact"/>
              <w:rPr>
                <w:rFonts w:hint="eastAsia" w:ascii="宋体" w:hAnsi="宋体" w:eastAsia="宋体"/>
                <w:color w:val="000000" w:themeColor="text1"/>
                <w:sz w:val="18"/>
                <w:szCs w:val="18"/>
              </w:rPr>
            </w:pPr>
          </w:p>
        </w:tc>
        <w:tc>
          <w:tcPr>
            <w:tcW w:w="3827" w:type="dxa"/>
            <w:vAlign w:val="center"/>
          </w:tcPr>
          <w:p>
            <w:pPr>
              <w:tabs>
                <w:tab w:val="left" w:pos="7937"/>
              </w:tabs>
              <w:spacing w:line="280" w:lineRule="exact"/>
              <w:rPr>
                <w:rFonts w:ascii="宋体" w:hAnsi="宋体" w:eastAsia="宋体"/>
                <w:color w:val="000000" w:themeColor="text1"/>
                <w:sz w:val="18"/>
                <w:szCs w:val="18"/>
              </w:rPr>
            </w:pPr>
          </w:p>
        </w:tc>
        <w:tc>
          <w:tcPr>
            <w:tcW w:w="3260" w:type="dxa"/>
            <w:vAlign w:val="center"/>
          </w:tcPr>
          <w:p>
            <w:pPr>
              <w:tabs>
                <w:tab w:val="left" w:pos="7937"/>
              </w:tabs>
              <w:spacing w:line="280" w:lineRule="exact"/>
              <w:rPr>
                <w:rFonts w:ascii="宋体" w:hAnsi="宋体" w:eastAsia="宋体"/>
                <w:color w:val="000000" w:themeColor="text1"/>
                <w:sz w:val="18"/>
                <w:szCs w:val="18"/>
              </w:rPr>
            </w:pPr>
          </w:p>
        </w:tc>
        <w:tc>
          <w:tcPr>
            <w:tcW w:w="709" w:type="dxa"/>
            <w:vAlign w:val="center"/>
          </w:tcPr>
          <w:p>
            <w:pPr>
              <w:tabs>
                <w:tab w:val="left" w:pos="7937"/>
              </w:tabs>
              <w:spacing w:line="280" w:lineRule="exact"/>
              <w:rPr>
                <w:rFonts w:ascii="宋体" w:hAnsi="宋体" w:eastAsia="宋体"/>
                <w:color w:val="000000" w:themeColor="text1"/>
                <w:sz w:val="18"/>
                <w:szCs w:val="18"/>
              </w:rPr>
            </w:pPr>
          </w:p>
        </w:tc>
      </w:tr>
    </w:tbl>
    <w:p>
      <w:pPr>
        <w:rPr>
          <w:color w:val="000000" w:themeColor="text1"/>
        </w:rPr>
      </w:pPr>
    </w:p>
    <w:sectPr>
      <w:pgSz w:w="16838" w:h="11906" w:orient="landscape"/>
      <w:pgMar w:top="1134" w:right="1304" w:bottom="851"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书宋_GBK">
    <w:altName w:val="宋体"/>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QxZjM3MTExOWUxZDk2NGJkYmU5M2FhYjFmMGYwYTIifQ=="/>
  </w:docVars>
  <w:rsids>
    <w:rsidRoot w:val="000D1CDC"/>
    <w:rsid w:val="00016382"/>
    <w:rsid w:val="00020FDE"/>
    <w:rsid w:val="000B4206"/>
    <w:rsid w:val="000D1CDC"/>
    <w:rsid w:val="0016094C"/>
    <w:rsid w:val="00164AC4"/>
    <w:rsid w:val="002010D7"/>
    <w:rsid w:val="00234D4E"/>
    <w:rsid w:val="002527A9"/>
    <w:rsid w:val="00276CDC"/>
    <w:rsid w:val="0033389F"/>
    <w:rsid w:val="00353E17"/>
    <w:rsid w:val="00393B3C"/>
    <w:rsid w:val="003E24DE"/>
    <w:rsid w:val="004156C9"/>
    <w:rsid w:val="00426E7C"/>
    <w:rsid w:val="004A4257"/>
    <w:rsid w:val="005A1026"/>
    <w:rsid w:val="007519CE"/>
    <w:rsid w:val="00795DB5"/>
    <w:rsid w:val="00837523"/>
    <w:rsid w:val="008C32F7"/>
    <w:rsid w:val="008E6BBE"/>
    <w:rsid w:val="00912D37"/>
    <w:rsid w:val="00923892"/>
    <w:rsid w:val="00976B92"/>
    <w:rsid w:val="009F12C0"/>
    <w:rsid w:val="00A80A5D"/>
    <w:rsid w:val="00AD66B0"/>
    <w:rsid w:val="00B46F92"/>
    <w:rsid w:val="00B844A3"/>
    <w:rsid w:val="00B913B9"/>
    <w:rsid w:val="00BD4F01"/>
    <w:rsid w:val="00C143D4"/>
    <w:rsid w:val="00C8394E"/>
    <w:rsid w:val="00C854EB"/>
    <w:rsid w:val="00D62FC2"/>
    <w:rsid w:val="00D731D7"/>
    <w:rsid w:val="00DB46BF"/>
    <w:rsid w:val="00DE2F1B"/>
    <w:rsid w:val="00E3650D"/>
    <w:rsid w:val="00E46BC0"/>
    <w:rsid w:val="00E7334C"/>
    <w:rsid w:val="00F05AF3"/>
    <w:rsid w:val="00F27DFD"/>
    <w:rsid w:val="00F540CA"/>
    <w:rsid w:val="00F63D53"/>
    <w:rsid w:val="00F7498A"/>
    <w:rsid w:val="01E34458"/>
    <w:rsid w:val="02BB5D1D"/>
    <w:rsid w:val="038244AF"/>
    <w:rsid w:val="102576DD"/>
    <w:rsid w:val="11E904DA"/>
    <w:rsid w:val="126707DD"/>
    <w:rsid w:val="13D64A5A"/>
    <w:rsid w:val="150862E9"/>
    <w:rsid w:val="1565052F"/>
    <w:rsid w:val="157769E5"/>
    <w:rsid w:val="1B953CB8"/>
    <w:rsid w:val="1B9F53F5"/>
    <w:rsid w:val="1C7059BD"/>
    <w:rsid w:val="230D715B"/>
    <w:rsid w:val="286C1097"/>
    <w:rsid w:val="2EBA06DB"/>
    <w:rsid w:val="326E0010"/>
    <w:rsid w:val="32EA3EF8"/>
    <w:rsid w:val="364D039C"/>
    <w:rsid w:val="39A46E5D"/>
    <w:rsid w:val="3A155CD4"/>
    <w:rsid w:val="46577BB6"/>
    <w:rsid w:val="47811471"/>
    <w:rsid w:val="4D0D1771"/>
    <w:rsid w:val="53905509"/>
    <w:rsid w:val="542B7C90"/>
    <w:rsid w:val="5F616D15"/>
    <w:rsid w:val="69F66446"/>
    <w:rsid w:val="7AEF7F84"/>
    <w:rsid w:val="7DB517D5"/>
    <w:rsid w:val="7EBB2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Autospacing="1" w:afterAutospacing="1"/>
      <w:jc w:val="left"/>
    </w:pPr>
    <w:rPr>
      <w:rFonts w:cs="Times New Roman"/>
      <w:kern w:val="0"/>
      <w:sz w:val="24"/>
    </w:rPr>
  </w:style>
  <w:style w:type="character" w:styleId="7">
    <w:name w:val="FollowedHyperlink"/>
    <w:basedOn w:val="6"/>
    <w:semiHidden/>
    <w:unhideWhenUsed/>
    <w:qFormat/>
    <w:uiPriority w:val="0"/>
    <w:rPr>
      <w:color w:val="000000"/>
      <w:u w:val="none"/>
    </w:rPr>
  </w:style>
  <w:style w:type="character" w:styleId="8">
    <w:name w:val="Hyperlink"/>
    <w:basedOn w:val="6"/>
    <w:semiHidden/>
    <w:unhideWhenUsed/>
    <w:qFormat/>
    <w:uiPriority w:val="0"/>
    <w:rPr>
      <w:color w:val="000000"/>
      <w:u w:val="none"/>
    </w:rPr>
  </w:style>
  <w:style w:type="paragraph" w:customStyle="1" w:styleId="9">
    <w:name w:val="Char"/>
    <w:basedOn w:val="1"/>
    <w:qFormat/>
    <w:uiPriority w:val="0"/>
    <w:pPr>
      <w:snapToGrid w:val="0"/>
      <w:spacing w:afterLines="50" w:line="360" w:lineRule="auto"/>
      <w:ind w:firstLine="480" w:firstLineChars="200"/>
    </w:pPr>
    <w:rPr>
      <w:rFonts w:ascii="Times New Roman" w:hAnsi="Times New Roman" w:eastAsia="仿宋_GB2312" w:cs="Times New Roman"/>
      <w:sz w:val="32"/>
      <w:szCs w:val="32"/>
    </w:rPr>
  </w:style>
  <w:style w:type="paragraph" w:customStyle="1" w:styleId="10">
    <w:name w:val="Char1"/>
    <w:basedOn w:val="1"/>
    <w:qFormat/>
    <w:uiPriority w:val="0"/>
    <w:pPr>
      <w:snapToGrid w:val="0"/>
      <w:spacing w:afterLines="50" w:line="360" w:lineRule="auto"/>
      <w:ind w:firstLine="480" w:firstLineChars="200"/>
    </w:pPr>
    <w:rPr>
      <w:rFonts w:ascii="Times New Roman" w:hAnsi="Times New Roman" w:eastAsia="仿宋_GB2312" w:cs="Times New Roman"/>
      <w:sz w:val="32"/>
      <w:szCs w:val="32"/>
    </w:rPr>
  </w:style>
  <w:style w:type="character" w:customStyle="1" w:styleId="11">
    <w:name w:val="页眉 Char"/>
    <w:link w:val="3"/>
    <w:qFormat/>
    <w:uiPriority w:val="99"/>
    <w:rPr>
      <w:sz w:val="18"/>
      <w:szCs w:val="18"/>
    </w:rPr>
  </w:style>
  <w:style w:type="character" w:customStyle="1" w:styleId="12">
    <w:name w:val="页脚 Char"/>
    <w:link w:val="2"/>
    <w:qFormat/>
    <w:uiPriority w:val="99"/>
    <w:rPr>
      <w:sz w:val="18"/>
      <w:szCs w:val="18"/>
    </w:rPr>
  </w:style>
  <w:style w:type="character" w:customStyle="1" w:styleId="13">
    <w:name w:val="fontstyle01"/>
    <w:basedOn w:val="6"/>
    <w:qFormat/>
    <w:uiPriority w:val="0"/>
    <w:rPr>
      <w:rFonts w:ascii="仿宋_GB2312" w:hAnsi="仿宋_GB2312" w:eastAsia="仿宋_GB2312" w:cs="仿宋_GB2312"/>
      <w:color w:val="000000"/>
      <w:sz w:val="30"/>
      <w:szCs w:val="30"/>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17</Pages>
  <Words>9816</Words>
  <Characters>10149</Characters>
  <Lines>67</Lines>
  <Paragraphs>18</Paragraphs>
  <TotalTime>0</TotalTime>
  <ScaleCrop>false</ScaleCrop>
  <LinksUpToDate>false</LinksUpToDate>
  <CharactersWithSpaces>10164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2020-11-16T12:08:00Z</dcterms:created>
  <dc:creator>User</dc:creator>
  <cp:lastModifiedBy>Administrator</cp:lastModifiedBy>
  <dcterms:modified xsi:type="dcterms:W3CDTF">2024-06-13T08:02:00Z</dcterms:modified>
  <dc:title>河北省发展和改革委员会权责清单</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75E0F5C4B9BB4FF6A2517E94873AE272_12</vt:lpwstr>
  </property>
</Properties>
</file>