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utoSpaceDE w:val="0"/>
        <w:autoSpaceDN/>
        <w:spacing w:before="0" w:beforeAutospacing="0" w:after="0" w:afterAutospacing="0" w:line="600" w:lineRule="exact"/>
        <w:ind w:left="0" w:right="0"/>
        <w:jc w:val="both"/>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附件4</w:t>
      </w:r>
    </w:p>
    <w:p>
      <w:pPr>
        <w:keepNext w:val="0"/>
        <w:keepLines w:val="0"/>
        <w:widowControl w:val="0"/>
        <w:suppressLineNumbers w:val="0"/>
        <w:autoSpaceDE w:val="0"/>
        <w:autoSpaceDN/>
        <w:spacing w:before="0" w:beforeAutospacing="0" w:after="0" w:afterAutospacing="0" w:line="600" w:lineRule="exact"/>
        <w:ind w:left="0" w:right="0"/>
        <w:jc w:val="center"/>
        <w:rPr>
          <w:rFonts w:hint="eastAsia" w:ascii="方正小标宋简体" w:hAnsi="方正小标宋简体" w:eastAsia="方正小标宋简体" w:cs="方正小标宋简体"/>
          <w:sz w:val="36"/>
          <w:szCs w:val="36"/>
          <w:lang w:val="en-US"/>
        </w:rPr>
      </w:pPr>
      <w:r>
        <w:rPr>
          <w:rFonts w:hint="eastAsia" w:ascii="方正小标宋简体" w:hAnsi="方正小标宋简体" w:eastAsia="方正小标宋简体" w:cs="方正小标宋简体"/>
          <w:kern w:val="2"/>
          <w:sz w:val="36"/>
          <w:szCs w:val="36"/>
          <w:lang w:val="en-US" w:eastAsia="zh-CN" w:bidi="ar"/>
        </w:rPr>
        <w:t>农业农村局权责清单事项分表</w:t>
      </w:r>
    </w:p>
    <w:p>
      <w:pPr>
        <w:keepNext w:val="0"/>
        <w:keepLines w:val="0"/>
        <w:widowControl w:val="0"/>
        <w:suppressLineNumbers w:val="0"/>
        <w:autoSpaceDE w:val="0"/>
        <w:autoSpaceDN/>
        <w:spacing w:before="0" w:beforeAutospacing="0" w:after="0" w:afterAutospacing="0" w:line="600" w:lineRule="exact"/>
        <w:ind w:left="0" w:right="0"/>
        <w:jc w:val="center"/>
        <w:rPr>
          <w:rFonts w:hint="default" w:ascii="楷体_GB2312" w:eastAsia="楷体_GB2312" w:cs="楷体_GB2312"/>
          <w:sz w:val="36"/>
          <w:szCs w:val="36"/>
          <w:lang w:val="en-US"/>
        </w:rPr>
      </w:pPr>
      <w:r>
        <w:rPr>
          <w:rFonts w:hint="eastAsia" w:ascii="楷体_GB2312" w:hAnsi="楷体_GB2312" w:eastAsia="仿宋_GB2312" w:cs="仿宋_GB2312"/>
          <w:kern w:val="2"/>
          <w:sz w:val="32"/>
          <w:szCs w:val="32"/>
          <w:lang w:val="en-US" w:eastAsia="zh-CN" w:bidi="ar"/>
        </w:rPr>
        <w:t>（共</w:t>
      </w:r>
      <w:r>
        <w:rPr>
          <w:rFonts w:hint="eastAsia" w:ascii="楷体_GB2312" w:hAnsi="楷体_GB2312" w:cs="仿宋_GB2312"/>
          <w:kern w:val="2"/>
          <w:sz w:val="32"/>
          <w:szCs w:val="32"/>
          <w:lang w:val="en-US" w:eastAsia="zh-CN" w:bidi="ar"/>
        </w:rPr>
        <w:t>7</w:t>
      </w:r>
      <w:r>
        <w:rPr>
          <w:rFonts w:hint="eastAsia" w:ascii="楷体_GB2312" w:hAnsi="楷体_GB2312" w:eastAsia="仿宋_GB2312" w:cs="仿宋_GB2312"/>
          <w:kern w:val="2"/>
          <w:sz w:val="32"/>
          <w:szCs w:val="32"/>
          <w:lang w:val="en-US" w:eastAsia="zh-CN" w:bidi="ar"/>
        </w:rPr>
        <w:t>类、</w:t>
      </w:r>
      <w:r>
        <w:rPr>
          <w:rFonts w:hint="eastAsia" w:ascii="楷体_GB2312" w:hAnsi="楷体_GB2312" w:cs="仿宋_GB2312"/>
          <w:kern w:val="2"/>
          <w:sz w:val="32"/>
          <w:szCs w:val="32"/>
          <w:lang w:val="en-US" w:eastAsia="zh-CN" w:bidi="ar"/>
        </w:rPr>
        <w:t>111</w:t>
      </w:r>
      <w:bookmarkStart w:id="0" w:name="_GoBack"/>
      <w:bookmarkEnd w:id="0"/>
      <w:r>
        <w:rPr>
          <w:rFonts w:hint="eastAsia" w:ascii="楷体_GB2312" w:hAnsi="楷体_GB2312" w:eastAsia="仿宋_GB2312" w:cs="仿宋_GB2312"/>
          <w:kern w:val="2"/>
          <w:sz w:val="32"/>
          <w:szCs w:val="32"/>
          <w:lang w:val="en-US" w:eastAsia="zh-CN" w:bidi="ar"/>
        </w:rPr>
        <w:t>项）</w:t>
      </w:r>
    </w:p>
    <w:p>
      <w:pPr>
        <w:keepNext w:val="0"/>
        <w:keepLines w:val="0"/>
        <w:widowControl w:val="0"/>
        <w:suppressLineNumbers w:val="0"/>
        <w:autoSpaceDE w:val="0"/>
        <w:autoSpaceDN/>
        <w:spacing w:before="0" w:beforeAutospacing="0" w:after="0" w:afterAutospacing="0" w:line="600" w:lineRule="exact"/>
        <w:ind w:left="0" w:right="0"/>
        <w:jc w:val="both"/>
        <w:rPr>
          <w:rFonts w:hint="eastAsia" w:ascii="黑体" w:hAnsi="宋体" w:eastAsia="黑体" w:cs="黑体"/>
          <w:kern w:val="2"/>
          <w:sz w:val="32"/>
          <w:szCs w:val="32"/>
          <w:lang w:val="en-US" w:eastAsia="zh-CN" w:bidi="ar"/>
        </w:rPr>
      </w:pPr>
      <w:r>
        <w:rPr>
          <w:rFonts w:hint="eastAsia" w:ascii="楷体_GB2312" w:hAnsi="楷体_GB2312" w:eastAsia="仿宋_GB2312" w:cs="仿宋_GB2312"/>
          <w:kern w:val="2"/>
          <w:sz w:val="28"/>
          <w:szCs w:val="28"/>
          <w:lang w:val="en-US" w:eastAsia="zh-CN" w:bidi="ar"/>
        </w:rPr>
        <w:t>单位：</w:t>
      </w:r>
      <w:r>
        <w:rPr>
          <w:rFonts w:hint="eastAsia" w:ascii="楷体_GB2312" w:hAnsi="Times New Roman" w:eastAsia="楷体_GB2312" w:cs="Arial"/>
          <w:kern w:val="2"/>
          <w:sz w:val="28"/>
          <w:szCs w:val="28"/>
          <w:lang w:val="en-US" w:eastAsia="zh-CN" w:bidi="ar"/>
        </w:rPr>
        <w:t>农业农村局</w:t>
      </w:r>
      <w:r>
        <w:rPr>
          <w:rFonts w:hint="eastAsia" w:ascii="楷体_GB2312" w:hAnsi="楷体_GB2312" w:eastAsia="仿宋_GB2312" w:cs="Arial"/>
          <w:kern w:val="2"/>
          <w:sz w:val="28"/>
          <w:szCs w:val="28"/>
          <w:lang w:val="en-US" w:eastAsia="zh-CN" w:bidi="ar"/>
        </w:rPr>
        <w:t>（公章）</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750"/>
        <w:gridCol w:w="810"/>
        <w:gridCol w:w="705"/>
        <w:gridCol w:w="4125"/>
        <w:gridCol w:w="3825"/>
        <w:gridCol w:w="2925"/>
        <w:gridCol w:w="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515" w:type="dxa"/>
            <w:vAlign w:val="center"/>
          </w:tcPr>
          <w:p>
            <w:pPr>
              <w:keepNext w:val="0"/>
              <w:keepLines w:val="0"/>
              <w:widowControl w:val="0"/>
              <w:suppressLineNumbers w:val="0"/>
              <w:autoSpaceDE/>
              <w:autoSpaceDN w:val="0"/>
              <w:spacing w:before="0" w:beforeAutospacing="0" w:after="0" w:afterAutospacing="0" w:line="300" w:lineRule="exact"/>
              <w:ind w:left="0" w:right="0"/>
              <w:jc w:val="center"/>
              <w:textAlignment w:val="center"/>
              <w:rPr>
                <w:rFonts w:hint="eastAsia" w:ascii="黑体" w:hAnsi="宋体" w:eastAsia="黑体" w:cs="黑体"/>
                <w:color w:val="000000"/>
                <w:kern w:val="2"/>
                <w:sz w:val="24"/>
                <w:szCs w:val="24"/>
                <w:lang w:val="en-US" w:eastAsia="zh-CN" w:bidi="ar"/>
              </w:rPr>
            </w:pPr>
            <w:r>
              <w:rPr>
                <w:rFonts w:hint="eastAsia" w:ascii="黑体" w:hAnsi="宋体" w:eastAsia="黑体" w:cs="黑体"/>
                <w:color w:val="000000"/>
                <w:kern w:val="2"/>
                <w:sz w:val="24"/>
                <w:szCs w:val="24"/>
                <w:lang w:val="en-US" w:eastAsia="zh-CN" w:bidi="ar"/>
              </w:rPr>
              <w:t>序号</w:t>
            </w:r>
          </w:p>
        </w:tc>
        <w:tc>
          <w:tcPr>
            <w:tcW w:w="750" w:type="dxa"/>
            <w:vAlign w:val="center"/>
          </w:tcPr>
          <w:p>
            <w:pPr>
              <w:keepNext w:val="0"/>
              <w:keepLines w:val="0"/>
              <w:widowControl w:val="0"/>
              <w:suppressLineNumbers w:val="0"/>
              <w:autoSpaceDE/>
              <w:autoSpaceDN w:val="0"/>
              <w:spacing w:before="0" w:beforeAutospacing="0" w:after="0" w:afterAutospacing="0" w:line="300" w:lineRule="exact"/>
              <w:ind w:left="0" w:right="0"/>
              <w:jc w:val="center"/>
              <w:textAlignment w:val="center"/>
              <w:rPr>
                <w:rFonts w:hint="default" w:ascii="黑体" w:hAnsi="宋体" w:eastAsia="黑体" w:cs="黑体"/>
                <w:color w:val="000000"/>
                <w:kern w:val="2"/>
                <w:sz w:val="24"/>
                <w:szCs w:val="24"/>
                <w:lang w:val="en-US" w:eastAsia="zh-CN" w:bidi="ar"/>
              </w:rPr>
            </w:pPr>
            <w:r>
              <w:rPr>
                <w:rFonts w:hint="eastAsia" w:ascii="黑体" w:hAnsi="宋体" w:eastAsia="黑体" w:cs="黑体"/>
                <w:color w:val="000000"/>
                <w:kern w:val="2"/>
                <w:sz w:val="24"/>
                <w:szCs w:val="24"/>
                <w:lang w:val="en-US" w:eastAsia="zh-CN" w:bidi="ar"/>
              </w:rPr>
              <w:t>权力类型</w:t>
            </w:r>
          </w:p>
        </w:tc>
        <w:tc>
          <w:tcPr>
            <w:tcW w:w="810" w:type="dxa"/>
            <w:vAlign w:val="center"/>
          </w:tcPr>
          <w:p>
            <w:pPr>
              <w:keepNext w:val="0"/>
              <w:keepLines w:val="0"/>
              <w:widowControl w:val="0"/>
              <w:suppressLineNumbers w:val="0"/>
              <w:autoSpaceDE/>
              <w:autoSpaceDN w:val="0"/>
              <w:spacing w:before="0" w:beforeAutospacing="0" w:after="0" w:afterAutospacing="0" w:line="300" w:lineRule="exact"/>
              <w:ind w:left="0" w:right="0"/>
              <w:jc w:val="center"/>
              <w:textAlignment w:val="center"/>
              <w:rPr>
                <w:rFonts w:hint="default" w:ascii="黑体" w:hAnsi="宋体" w:eastAsia="黑体" w:cs="黑体"/>
                <w:color w:val="000000"/>
                <w:kern w:val="2"/>
                <w:sz w:val="24"/>
                <w:szCs w:val="24"/>
                <w:lang w:val="en-US" w:eastAsia="zh-CN" w:bidi="ar"/>
              </w:rPr>
            </w:pPr>
            <w:r>
              <w:rPr>
                <w:rFonts w:hint="eastAsia" w:ascii="黑体" w:hAnsi="宋体" w:eastAsia="黑体" w:cs="黑体"/>
                <w:color w:val="000000"/>
                <w:kern w:val="2"/>
                <w:sz w:val="24"/>
                <w:szCs w:val="24"/>
                <w:lang w:val="en-US" w:eastAsia="zh-CN" w:bidi="ar"/>
              </w:rPr>
              <w:t>权力事项</w:t>
            </w:r>
          </w:p>
        </w:tc>
        <w:tc>
          <w:tcPr>
            <w:tcW w:w="705" w:type="dxa"/>
            <w:vAlign w:val="center"/>
          </w:tcPr>
          <w:p>
            <w:pPr>
              <w:keepNext w:val="0"/>
              <w:keepLines w:val="0"/>
              <w:widowControl w:val="0"/>
              <w:suppressLineNumbers w:val="0"/>
              <w:autoSpaceDE/>
              <w:autoSpaceDN w:val="0"/>
              <w:spacing w:before="0" w:beforeAutospacing="0" w:after="0" w:afterAutospacing="0" w:line="300" w:lineRule="exact"/>
              <w:ind w:left="0" w:right="0"/>
              <w:jc w:val="center"/>
              <w:textAlignment w:val="center"/>
              <w:rPr>
                <w:rFonts w:hint="eastAsia" w:ascii="黑体" w:hAnsi="宋体" w:eastAsia="黑体" w:cs="黑体"/>
                <w:color w:val="000000"/>
                <w:kern w:val="2"/>
                <w:sz w:val="24"/>
                <w:szCs w:val="24"/>
                <w:lang w:val="en-US" w:eastAsia="zh-CN" w:bidi="ar"/>
              </w:rPr>
            </w:pPr>
            <w:r>
              <w:rPr>
                <w:rFonts w:hint="eastAsia" w:ascii="黑体" w:hAnsi="宋体" w:eastAsia="黑体" w:cs="黑体"/>
                <w:color w:val="000000"/>
                <w:kern w:val="2"/>
                <w:sz w:val="24"/>
                <w:szCs w:val="24"/>
                <w:lang w:val="en-US" w:eastAsia="zh-CN" w:bidi="ar"/>
              </w:rPr>
              <w:t>行政主体</w:t>
            </w:r>
          </w:p>
        </w:tc>
        <w:tc>
          <w:tcPr>
            <w:tcW w:w="4125" w:type="dxa"/>
            <w:vAlign w:val="center"/>
          </w:tcPr>
          <w:p>
            <w:pPr>
              <w:keepNext w:val="0"/>
              <w:keepLines w:val="0"/>
              <w:widowControl w:val="0"/>
              <w:suppressLineNumbers w:val="0"/>
              <w:autoSpaceDE/>
              <w:autoSpaceDN w:val="0"/>
              <w:spacing w:before="0" w:beforeAutospacing="0" w:after="0" w:afterAutospacing="0" w:line="300" w:lineRule="exact"/>
              <w:ind w:left="0" w:right="0"/>
              <w:jc w:val="center"/>
              <w:textAlignment w:val="center"/>
              <w:rPr>
                <w:rFonts w:hint="default" w:ascii="黑体" w:hAnsi="宋体" w:eastAsia="黑体" w:cs="黑体"/>
                <w:color w:val="000000"/>
                <w:kern w:val="2"/>
                <w:sz w:val="24"/>
                <w:szCs w:val="24"/>
                <w:lang w:val="en-US" w:eastAsia="zh-CN" w:bidi="ar"/>
              </w:rPr>
            </w:pPr>
            <w:r>
              <w:rPr>
                <w:rFonts w:hint="eastAsia" w:ascii="黑体" w:hAnsi="宋体" w:eastAsia="黑体" w:cs="黑体"/>
                <w:color w:val="000000"/>
                <w:kern w:val="2"/>
                <w:sz w:val="24"/>
                <w:szCs w:val="24"/>
                <w:lang w:val="en-US" w:eastAsia="zh-CN" w:bidi="ar"/>
              </w:rPr>
              <w:t>实施依据</w:t>
            </w:r>
          </w:p>
        </w:tc>
        <w:tc>
          <w:tcPr>
            <w:tcW w:w="3825" w:type="dxa"/>
            <w:vAlign w:val="center"/>
          </w:tcPr>
          <w:p>
            <w:pPr>
              <w:keepNext w:val="0"/>
              <w:keepLines w:val="0"/>
              <w:widowControl w:val="0"/>
              <w:suppressLineNumbers w:val="0"/>
              <w:autoSpaceDE/>
              <w:autoSpaceDN w:val="0"/>
              <w:spacing w:before="0" w:beforeAutospacing="0" w:after="0" w:afterAutospacing="0" w:line="300" w:lineRule="exact"/>
              <w:ind w:left="0" w:right="0"/>
              <w:jc w:val="center"/>
              <w:textAlignment w:val="center"/>
              <w:rPr>
                <w:rFonts w:hint="default" w:ascii="黑体" w:hAnsi="宋体" w:eastAsia="黑体" w:cs="黑体"/>
                <w:color w:val="000000"/>
                <w:kern w:val="2"/>
                <w:sz w:val="24"/>
                <w:szCs w:val="24"/>
                <w:lang w:val="en-US" w:eastAsia="zh-CN" w:bidi="ar"/>
              </w:rPr>
            </w:pPr>
            <w:r>
              <w:rPr>
                <w:rFonts w:hint="eastAsia" w:ascii="黑体" w:hAnsi="宋体" w:eastAsia="黑体" w:cs="黑体"/>
                <w:color w:val="000000"/>
                <w:kern w:val="2"/>
                <w:sz w:val="24"/>
                <w:szCs w:val="24"/>
                <w:lang w:val="en-US" w:eastAsia="zh-CN" w:bidi="ar"/>
              </w:rPr>
              <w:t>责任事项</w:t>
            </w:r>
          </w:p>
        </w:tc>
        <w:tc>
          <w:tcPr>
            <w:tcW w:w="2925" w:type="dxa"/>
            <w:vAlign w:val="center"/>
          </w:tcPr>
          <w:p>
            <w:pPr>
              <w:keepNext w:val="0"/>
              <w:keepLines w:val="0"/>
              <w:widowControl w:val="0"/>
              <w:suppressLineNumbers w:val="0"/>
              <w:autoSpaceDE/>
              <w:autoSpaceDN w:val="0"/>
              <w:spacing w:before="0" w:beforeAutospacing="0" w:after="0" w:afterAutospacing="0" w:line="300" w:lineRule="exact"/>
              <w:ind w:left="0" w:right="0"/>
              <w:jc w:val="center"/>
              <w:textAlignment w:val="center"/>
              <w:rPr>
                <w:rFonts w:hint="eastAsia" w:ascii="黑体" w:hAnsi="宋体" w:eastAsia="黑体" w:cs="黑体"/>
                <w:color w:val="000000"/>
                <w:kern w:val="2"/>
                <w:sz w:val="24"/>
                <w:szCs w:val="24"/>
                <w:lang w:val="en-US" w:eastAsia="zh-CN" w:bidi="ar"/>
              </w:rPr>
            </w:pPr>
            <w:r>
              <w:rPr>
                <w:rFonts w:hint="eastAsia" w:ascii="黑体" w:hAnsi="宋体" w:eastAsia="黑体" w:cs="黑体"/>
                <w:color w:val="000000"/>
                <w:kern w:val="2"/>
                <w:sz w:val="24"/>
                <w:szCs w:val="24"/>
                <w:lang w:val="en-US" w:eastAsia="zh-CN" w:bidi="ar"/>
              </w:rPr>
              <w:t>追责情形</w:t>
            </w:r>
          </w:p>
        </w:tc>
        <w:tc>
          <w:tcPr>
            <w:tcW w:w="401" w:type="dxa"/>
            <w:vAlign w:val="center"/>
          </w:tcPr>
          <w:p>
            <w:pPr>
              <w:keepNext w:val="0"/>
              <w:keepLines w:val="0"/>
              <w:widowControl w:val="0"/>
              <w:suppressLineNumbers w:val="0"/>
              <w:autoSpaceDE/>
              <w:autoSpaceDN w:val="0"/>
              <w:spacing w:before="0" w:beforeAutospacing="0" w:after="0" w:afterAutospacing="0" w:line="300" w:lineRule="exact"/>
              <w:ind w:left="0" w:right="0"/>
              <w:jc w:val="center"/>
              <w:textAlignment w:val="center"/>
              <w:rPr>
                <w:rFonts w:hint="eastAsia" w:ascii="黑体" w:hAnsi="宋体" w:eastAsia="黑体" w:cs="黑体"/>
                <w:color w:val="000000"/>
                <w:kern w:val="2"/>
                <w:sz w:val="24"/>
                <w:szCs w:val="24"/>
                <w:lang w:val="en-US" w:eastAsia="zh-CN" w:bidi="ar"/>
              </w:rPr>
            </w:pPr>
            <w:r>
              <w:rPr>
                <w:rFonts w:hint="eastAsia" w:ascii="黑体" w:hAnsi="宋体" w:eastAsia="黑体" w:cs="黑体"/>
                <w:color w:val="000000"/>
                <w:kern w:val="2"/>
                <w:sz w:val="24"/>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rPr>
            </w:pPr>
            <w:r>
              <w:rPr>
                <w:rFonts w:hint="eastAsia" w:ascii="宋体" w:hAnsi="宋体" w:eastAsia="宋体"/>
                <w:sz w:val="15"/>
                <w:szCs w:val="15"/>
              </w:rPr>
              <w:t>1</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rPr>
            </w:pPr>
            <w:r>
              <w:rPr>
                <w:rFonts w:hint="eastAsia" w:ascii="宋体" w:hAnsi="宋体" w:eastAsia="宋体"/>
                <w:sz w:val="15"/>
                <w:szCs w:val="15"/>
              </w:rPr>
              <w:t>对种畜禽（蚕种）生产经营者无许可证或者违反许可证的规定生产经营种畜禽（蚕种）等行为的行政处罚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rPr>
            </w:pPr>
            <w:r>
              <w:rPr>
                <w:rFonts w:hint="default"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1.《中华人民共和国畜牧法》</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第六十二条：违反本法有关规定，无种畜禽生产经营许可证或者违反种畜禽生产经营许可证的规定生产经营种畜禽的，转让、租借种畜禽生产经营许可证的，由县级以上人民政府畜牧兽医行政主管部门责令停止违法行为，没收违法所得；违法所得在三万元以上的，并处违法所得一倍以上三倍以下罚款；没有违法所得或者违法所得不足三万元的，并处三千元以上三万元以下罚款。违反种畜禽生产经营许可证的规定生产经营种畜禽或者转让、租借种畜禽生产经营许可证，情节严重的，并处吊销种畜禽生产经营许可证。</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2.《蚕种管理办法》</w:t>
            </w:r>
          </w:p>
          <w:p>
            <w:pPr>
              <w:keepNext w:val="0"/>
              <w:keepLines w:val="0"/>
              <w:suppressLineNumbers w:val="0"/>
              <w:tabs>
                <w:tab w:val="left" w:pos="7937"/>
              </w:tabs>
              <w:spacing w:before="0" w:beforeAutospacing="0" w:after="0" w:afterAutospacing="0" w:line="240" w:lineRule="exact"/>
              <w:ind w:left="0" w:right="0"/>
              <w:rPr>
                <w:rFonts w:hint="default" w:ascii="宋体" w:hAnsi="宋体" w:eastAsia="宋体"/>
                <w:sz w:val="15"/>
                <w:szCs w:val="15"/>
              </w:rPr>
            </w:pPr>
            <w:r>
              <w:rPr>
                <w:rFonts w:hint="eastAsia" w:ascii="宋体" w:hAnsi="宋体" w:eastAsia="宋体"/>
                <w:sz w:val="15"/>
                <w:szCs w:val="15"/>
              </w:rPr>
              <w:t>第三十二条：违反本办法有关规定，无蚕种生产、经营许可证或者违反蚕种生产、经营许可证的规定生产经营蚕种，或者转让、租借蚕种生产、经营许可证的，由县级以上人民政府农业（蚕业）行政主管部门责令停止违法行为，没收违法所得；违法所得在三万元以上的，并处违法所得一倍以上三倍以下罚款；没有违法所得或者违法所得不足三万元的，并处三千元以上三万元以下罚款。违反蚕种生产、经营许可证的规定生产经营蚕种或者转让、租借蚕种生产、经营许可证，情节严重的，并处吊销蚕种生产、经营许可证。</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1.《中华人民共和国畜牧法》</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第六十八条第一款：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2.《中华人民共和国动物防疫法》</w:t>
            </w:r>
          </w:p>
          <w:p>
            <w:pPr>
              <w:keepNext w:val="0"/>
              <w:keepLines w:val="0"/>
              <w:suppressLineNumbers w:val="0"/>
              <w:tabs>
                <w:tab w:val="left" w:pos="7937"/>
              </w:tabs>
              <w:spacing w:before="0" w:beforeAutospacing="0" w:after="0" w:afterAutospacing="0" w:line="240" w:lineRule="exact"/>
              <w:ind w:left="0" w:right="0"/>
              <w:rPr>
                <w:rFonts w:hint="default" w:ascii="宋体" w:hAnsi="宋体" w:eastAsia="宋体"/>
                <w:sz w:val="15"/>
                <w:szCs w:val="15"/>
              </w:rPr>
            </w:pPr>
            <w:r>
              <w:rPr>
                <w:rFonts w:hint="eastAsia" w:ascii="宋体" w:hAnsi="宋体" w:eastAsia="宋体"/>
                <w:sz w:val="15"/>
                <w:szCs w:val="15"/>
              </w:rPr>
              <w:t>第七十四条：违反本法规定，对经强制免疫的动物未按照国务院兽医主管部门规定建立免疫档案、加施畜禽标识的，依照《中华人民共和国畜牧法》的有关规定处罚。</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rPr>
                <w:rFonts w:hint="default"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对畜禽养殖场未建立养殖档案或未按照规定保存养殖档案的行政处罚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1.《中华人民共和国畜牧法》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一条：畜禽养殖场应当建立养殖档案，载明以下内容：（一）畜禽的品种、数量、繁殖记录、标识情况、来源和进出场日期；（二）饲料、饲料添加剂、兽药等投入品的来源、名称、使用对象、时间和用量；（三）检疫、免疫、消毒情况；（四）畜禽发病、死亡和无害化处理情况；（五）国务院畜牧兽医行政主管部门规定的其他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第六十六条：违反本法第四十一条规定，畜禽养殖场未建立养殖档案的，或者未按照规定保存养殖档案的，由县级以上人民政府畜牧兽医行政主管部门责令限期改正，可以处一万元以下罚款。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第七十四条：违反本法规定，对经强制免疫的动物未按照国务院兽医主管部门规定建立免疫档案、加施畜禽标识的，依照《中华人民共和国畜牧法》的有关规定处罚。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1、立案责任：发现涉嫌对畜禽养殖场未建立养殖档案或未按照规定保存养殖档案的违法行为（或者下级部门上报或其他机关移送的违法案件等），予以审查，决定是否立案。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县级以上畜牧兽医行政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由县级以上畜牧兽医行政主管部门责令限期改正，可以处一万元以下罚款。对经强制免疫的动物未按照国务院兽医主管部门规定建立免疫档案、加施畜禽标识的，依照《畜牧法》的有关规定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对销售的种畜禽未附具种畜禽合格证明、检疫合格证明、家畜系谱等行为的行政处罚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1.《中华人民共和国畜牧法》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八条第一款：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第七十四条：违反本法规定，对经强制免疫的动物未按照国务院兽医主管部门规定建立免疫档案、加施畜禽标识的，依照《中华人民共和国畜牧法》的有关规定处罚。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1.《中华人民共和国畜牧法》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八条第一款：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第七十四条：违反本法规定，对经强制免疫的动物未按照国务院兽医主管部门规定建立免疫档案、加施畜禽标识的，依照《中华人民共和国畜牧法》的有关规定处罚。</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1、立案责任：发现涉嫌对销售的种畜禽未附具种畜禽合格证明、检疫合格证明、家畜系谱等违法行为，予以审查，决定是否立案。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县级以上畜牧兽医行政主管部门或者工商行政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7、执行责任：依照生效的行政处罚决定，由县级以上畜牧兽医行政主管部门或者工商行政管理部门责令改正，可以处二千元以下罚款。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对假冒、伪造或者买卖许可证明文件的行政处罚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第三十七条：假冒、伪造或者买卖许可证明文件的，由国务院农业行政主管部门或者县级以上地方人民政府饲料管理部门按照职责权限收缴或者吊销、撤销相关许可证明文件；构成犯罪的，依法追究刑事责任。</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1、立案责任：发现涉嫌对假冒、伪造或者买卖许可证明文件的违法行为，予以审查，决定是否立案。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国务院农业行政主管部门或者县级以上饲料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7、执行责任：依照生效的行政处罚决定，由国务院农业行政主管部门或者县级以上地方人民政府饲料管理部门按照职责权限收缴或者吊销、撤销相关许可证明文件；构成犯罪的，依法追究刑事责任。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对未取得生产许可证生产饲料、饲料添加剂的行政处罚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八条第一款：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2.《宠物饲料管理办法》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第十七条：未取得饲料生产许可证生产宠物配合饲料、宠物添加剂预混合饲料的，依据《饲料和饲料添加剂管理条例》第三十八条进行处罚。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3.《饲料和饲料添加剂生产许可管理办法》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条：饲料、饲料添加剂生产企业有下列情形之一的，依照《饲料和饲料添加剂管理条例》第三十八条处罚：（一）超出许可范围生产饲料、饲料添加剂的；（二）生产许可证有效期届满后，未依法续展继续生产饲料、饲料添加剂的。</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1、立案责任：发现涉嫌未取得生产许可证生产饲料、饲料添加剂的违法行为，予以审查，决定是否立案。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县级以上饲料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对已经取得生产许可证，但不再具备规定的条件而继续生产饲料、饲料添加剂的行政处罚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四条：设立饲料、饲料添加剂生产企业，应当符合饲料工业发展规划和产业政策，并具备下列条件：（一）有与生产饲料、饲料添加剂相适应的厂房、设备和仓储设施；（二）有与生产饲料、饲料添加剂相适应的专职技术人员；（三）有必要的产品质量检验机构、人员、设施和质量管理制度；（四）有符合国家规定的安全、卫生要求的生产环境；（五）有符合国家环境保护要求的污染防治措施；（六）国务院农业行政主管部门制定的饲料、饲料添加剂质量安全管理规范规定的其他条件。</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八条第二款：已经取得生产许可证，但不再具备本条例第十四条规定的条件而继续生产饲料、饲料添加剂的，由县级以上地方人民政府饲料管理部门责令停止生产、限期改正，并处1万元以上5万元以下罚款；逾期不改正的，由发证机关吊销生产许可证。</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1、立案责任：发现涉嫌对已经取得生产许可证，但不再具备规定的条件而继续生产饲料、饲料添加剂的违法行为，予以审查，决定是否立案。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县级以上饲料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7、执行责任：依照生效的行政处罚决定，由县级以上地方人民政府饲料管理部门责令停止生产、限期改正，并处1万元以上5万元以下罚款；逾期不改正的，由发证机关吊销生产许可证。</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对已经取得生产许可证，但未按照规定取得产品批准文号而生产饲料添加剂的行政处罚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 xml:space="preserve">第三十八条第三款：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 </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2.《饲料添加剂和添加剂预混合饲料产品批准文号管理办法》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七条第一款：饲料添加剂、添加剂预混合饲料生产企业违反本办法规定，向定制企业以外的其他饲料、饲料添加剂生产企业、经营者或养殖者销售定制产品的，依照《饲料和饲料添加剂管理条例》第三十八条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3.《国务院关于取消和下放一批行政许可事项的决定》（国发〔2019〕6号）</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附件1《国务院决定取消的行政许可事项目录》第18项：饲料添加剂预混合饲料、混合型饲料添加剂产品批准文号核发。</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1、立案责任：发现涉嫌对已经取得生产许可证，但未按照规定取得产品批准文号而生产饲料添加剂的违法行为，予以审查，决定是否立案。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县级以上地方人民政府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 xml:space="preserve">7、执行责任：依照生效的行政处罚决定，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 </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对饲料、饲料添加剂生产企业不遵守规定使用限制使用的饲料原料、单一饲料、饲料添加剂、药物饲料添加剂、添加剂预混合饲料生产饲料等行为的行政处罚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九条：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一）使用限制使用的饲料原料、单一饲料、饲料添加剂、药物饲料添加剂、添加剂预混合饲料生产饲料，不遵守国务院农业行政主管部门的限制性规定的；（二）使用国务院农业行政主管部门公布的饲料原料目录、饲料添加剂品种目录和药物饲料添加剂品种目录以外的物质生产饲料的；（三）生产未取得新饲料、新饲料添加剂证书的新饲料、新饲料添加剂或者禁用的饲料、饲料添加剂的。</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1、立案责任：发现涉嫌对饲料、饲料添加剂生产企业不遵守规定使用限制使用的饲料原料、单一饲料、饲料添加剂、药物饲料添加剂、添加剂预混合饲料生产饲料等违法行为，予以审查，决定是否立案。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县级以上地方人民政府饲料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对饲料、饲料添加剂生产企业不按规定和有关标准对采购的饲料原料、单一饲料、饲料添加剂、药物饲料添加剂、添加剂预混合饲料和用于饲料添加剂生产的原料进行查验或者检验等行为的行政处罚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条：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一）不按照国务院农业行政主管部门的规定和有关标准对采购的饲料原料、单一饲料、饲料添加剂、药物饲料添加剂、添加剂预混合饲料和用于饲料添加剂生产的原料进行查验或者检验的；（二）饲料、饲料添加剂生产过程中不遵守国务院农业行政主管部门制定的饲料、饲料添加剂质量安全管理规范和饲料添加剂安全使用规范的；（三）生产的饲料、饲料添加剂未经产品质量检验的。</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对饲料、饲料添加剂生产企业不按规定和有关标准对采购的饲料原料、单一饲料、饲料添加剂、药物饲料添加剂、添加剂预混合饲料和用于饲料添加剂生产的原料进行查验或者检验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县级以上地方人民政府饲料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对饲料、饲料添加剂生产企业不依照规定实行采购、生产、销售记录制度或者产品留样观察制度的行政处罚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一条第一款：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1、立案责任：发现涉嫌对饲料、饲料添加剂生产企业不依照规定实行采购、生产、销售记录制度或者产品留样观察制度的违法行为，予以审查，决定是否立案。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县级以上地方人民政府饲料管理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对饲料、饲料添加剂生产企业销售未附具产品质量检验合格证或者包装、标签不符合规定的饲料、饲料添加剂的行政处罚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一条第二款：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1、立案责任：对饲料、饲料添加剂生产企业销售未附具产品质量检验合格证或者包装、标签不符合规定的饲料、饲料添加剂的违法行为，予以审查，决定是否立案。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12</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对饲料和饲料添加剂生产企业发现问题产品不主动召回的行政处罚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八条第一款：饲料、饲料添加剂生产企业发现其生产的饲料、饲料添加剂对养殖动物、人体健康有害或者存在其他安全隐患的，应当立即停止生产，通知经营者、使用者，向饲料管理部门报告，主动召回产品，并记录召回和通知情况。召回的产品应当在饲料管理部门监督下予以无害化处理或者销毁。</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五条第一款：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1、立案责任：对饲料和饲料添加剂生产企业发现问题产品不主动召回的违法行为，予以审查，决定是否立案。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13</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对饲料、饲料添加剂经营者发现问题产品不停止销售的行政处罚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第二十八条第二款：饲料、饲料添加剂经营者发现其销售的饲料、饲料添加剂具有前款规定情形的，应当立即停止销售，通知生产企业、供货者和使用者，向饲料管理部门报告，并记录通知情况。</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五条第二款：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1、立案责任：对饲料、饲料添加剂经营者发现问题产品不停止销售的违法行为，予以审查，决定是否立案。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14</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对在生产、经营过程中，以非饲料、非饲料添加剂冒充饲料、饲料添加剂或者以此种饲料、饲料添加剂冒充他种饲料、饲料添加剂等行为的行政处罚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六条：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一）在生产、经营过程中，以非饲料、非饲料添加剂冒充饲料、饲料添加剂或者以此种饲料、饲料添加剂冒充他种饲料、饲料添加剂的；（二）生产、经营无产品质量标准或者不符合产品质量标准的饲料、饲料添加剂的；（三）生产、经营的饲料、饲料添加剂与标签标示的内容不一致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饲料添加剂生产企业有前款规定的行为，情节严重的，由发证机关吊销、撤销相关许可证明文件；饲料、饲料添加剂经营者有前款规定的行为，情节严重的，通知工商行政管理部门，由工商行政管理部门吊销营业执照。</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1、立案责任：对在生产、经营过程中，以非饲料、非饲料添加剂冒充饲料、饲料添加剂或者以此种饲料、饲料添加剂冒充他种饲料、饲料添加剂等行为的违法行为，予以审查，决定是否立案。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7、执行责任：依照生效的行政处罚决定，查封违法生产、经营饲料、饲料添加剂的场所</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15</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对养殖者在饲料或者动物饮用水中添加国务院农业行政主管部门公布禁用的物质以及对人体具有直接或者潜在危害的其他物质，或者直接使用上述物质养殖动物的行政处罚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《饲料和饲料添加剂管理条例》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七条第二款：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化处理，处3万元以上10万元以下罚款；构成犯罪的，依法追究刑事责任。</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养殖者在饲料或者动物饮用水中添加国务院农业行政主管部门公布禁用的物质以及对人体具有直接或者潜在危害的其他物质，或者直接使用上述物质养殖动物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16</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对无兽药生产许可证、兽药经营许可证生产、经营兽药的，或者虽有兽药生产许可证、兽药经营许可证，生产、经营假、劣兽药的，或者兽药经营企业经营人用药品等行为的行政处罚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1.《兽药管理条例》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六条：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擅自生产强制免疫所需兽用生物制品的，按照无兽药生产许可证生产兽药处罚。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2.《兽药进口管理办法》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第二十五条第二款：伪造、涂改进口兽药证明文件进口兽药的，按照《兽药管理条例》第四十七条、第五十六条的规定处理。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七条：养殖户、养殖场、动物诊疗机构等使用者将采购的进口兽药转手销售的，或者代理商、经销商超出《兽药经营许可证》范围经营进口兽用生物制品的，属于无证经营，按照《兽药管理条例》第五十六条的规定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3.《兽用生物制品经营管理办法》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六条：养殖户、养殖场、动物诊疗机构等使用者转手销售兽用生物制品的，或者兽药经营者超出《兽药经营许可证》载明的经营范围经营兽用生物制品的，属于无证经营，按照《兽药管理条例》第五十六条的规定处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无兽药生产许可证、兽药经营许可证生产、经营兽药的，或者虽有兽药生产许可证、兽药经营许可证，生产、经营假、劣兽药的，或者兽药经营企业经营人用药品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责令其停止生产、经营，没收用于违法生产的原料、辅料、包装材料及生产、经营的兽药和违法所得，情节严重的，没收其生产设备；生产、经营假、劣兽药，情节严重的，吊销兽药生产许可证、兽药经营许可证；构成犯罪的，依法追究刑事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17</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对提供虚假的资料、样品或者采取其他欺骗手段取得兽药生产许可证、兽药经营许可证或者兽药批准证明文件的行政处罚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1.《兽药管理条例》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七条：违反本条例规定，提供虚假的资料、样品或者采取其他欺骗手段取得兽药生产许可证、兽药经营许可证或者兽药批准证明文件的，吊销兽药生产许可证、兽药经营许可证或者撤销兽药批准证明文件，并处5万元以上10万元以下罚款；给他人造成损失的，依法承担赔偿责任。其主要负责人和直接负责的主管人员终身不得从事兽药的生产、经营和进出口活动。</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2.《兽药进口管理办法》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第二十五条第一款：提供虚假资料或者采取其他欺骗手段取得进口兽药证明文件的，按照《兽药管理条例》第五十七条的规定处罚。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1、立案责任：对提供虚假的资料、样品或者采取其他欺骗手段取得兽药生产许可证、兽药经营许可证或者兽药批准证明文件的违法行为，予以审查，决定是否立案。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7、执行责任：依照生效的行政处罚决定，进行处罚。吊销兽药生产许可证、兽药经营许可证或者撤销兽药批准证明文件，其主要负责人和直接负责的主管人员终身不得从事兽药的生产、经营和进出口活动。</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18</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对进入批发、零售市场或者生产加工企业前销售尚在用药期、休药期内的动物及其产品用于食品消费等行为的行政处罚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《兽药管理条例》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1、立案责任：对进入批发、零售市场或者生产加工企业前销售尚在用药期、休药期内的动物及其产品用于食品消费等违法行为，予以审查，决定是否立案。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责令其对含有违禁药物和兽药残留超标的动物产品进行无害化处理，没收违法所得，并处3万元以上10万元以下罚款；构成犯罪的，依法追究刑事责任；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19</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对将因试验死亡的临床试验用食用动物及其产品或无对人安全并超过休药期证明的临床试验用食用动物及其产品作为食品供人消费的行政处罚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1.《兽药管理条例》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2.《新兽药研制管理办法》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七条第二款：因试验死亡的临床试验用食用动物及其产品不得作为动物性食品供人消费，应当作无害化处理；临床试验用食用动物及其产品供人消费的，应当提供符合《兽药非临床研究质量管理规范》和《兽药临床试验质量管理规范》要求的兽药安全性评价实验室出具的对人安全并超过休药期的证明。</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第二十五条：违反本办法第十七条第二款规定，依照《兽药管理条例》第六十三条的规定予以处罚。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1、立案责任：对将因试验死亡的临床试验用食用动物及其产品或无对人安全并超过休药期证明的临床试验用食用动物及其产品作为食品供人消费的违法行为，予以审查，决定是否立案。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责令其对含有违禁药物和兽药残留超标的动物产品进行无害化处理，没收违法所得，并处3万元以上10万元以下罚款；构成犯罪的，依法追究刑事责任；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20</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对买卖、出租、出借兽药生产许可证、兽药经营许可证或者兽药批准证明文件等行为的行政处罚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1.《兽药管理条例》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八条：买卖、出租、出借兽药生产许可证、兽药经营许可证和兽药批准证明文件的，没收违法所得，并处1万元以上10万元以下罚款；情节严重的，吊销兽药生产许可证、兽药经营许可证或者撤销兽药批准证明文件；构成犯罪的，依法追究刑事责任；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2.《兽药进口管理办法》第二十六条：买卖、出租、出借《进口兽药通关单》的，按照《兽药管理条例》第五十八条的规定处罚。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3.《兽药产品批准文号管理办法》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第二十六条：买卖、出租、出借兽药产品批准文号的，按照《兽药管理条例》第五十八条规定处罚。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1、立案责任：对买卖、出租、出借兽药生产许可证、兽药经营许可证或者兽药批准证明文件等违法行为，予以审查，决定是否立案。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7、执行责任：依照生效的行政处罚决定，进行处罚。情节严重的，吊销兽药生产许可证、兽药经营许可证或者撤销兽药批准证明文件；构成犯罪的，依法追究刑事责任；给他人造成损失的，依法承担赔偿责任。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21</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对兽药安全性评价单位、临床试验单位、生产和经营企业未按照规定实施兽药研究试验、生产、经营质量管理规范，未按照规定开展新兽药临床试验备案的行政处罚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1.《兽药管理条例》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九条第一款：违反本条例规定，兽药安全性评价单位、临床试验单位、生产和经营企业未按照规定实施兽药研究试验、生产、经营质量管理规范的，给予警告，责令其限期改正；逾期不改正的，责令停止兽药研究试验、生产、经营活动，并处5万元以下罚款；情节严重的，吊销兽药生产许可证、兽药经营许可证；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第五十九条第三款：违反本条例规定，开展新兽药临床试验应当备案而未备案的，责令其立即改正，给予警告，并处5万元以上10万元以下罚款；给他人造成损失的，依法承担赔偿责任。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2.《兽用处方药和非处方药管理办法》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六条：违反本办法规定，有下列情形之一的，依照《兽药管理条例》第五十九条第一款的规定进行处罚：（一）兽药经营者未在经营场所明显位置悬挂或者张贴提示语的；（二）兽用处方药与兽用非处方药未分区或分柜摆放的；（三）兽用处方药采用开架自选方式销售的；（四）兽医处方笺和兽用处方药购销记录未按规定保存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3.《新兽药研制管理办法》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第二十七条第一款：兽药安全性评价单位、临床试验单位未按照《兽药非临床研究质量管理规范》或《兽药临床试验质量管理规范》规定实施兽药研究试验的，依照《兽药管理条例》第五十九条的规定予以处罚。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1、立案责任：对兽药安全性评价单位、临床试验单位、生产和经营企业未按照规定实施兽药研究试验、生产、经营质量管理规范，未按照规定开展新兽药临床试验备案的违法行为，予以审查，决定是否立案。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给予警告，责令其限期改正；逾期不改正的，责令停止兽药研究试验、生产、经营活动，情节严重的，吊销兽药生产许可证、兽药经营许可证；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22</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对研制新兽药不具备规定的条件擅自使用一类病原微生物或者在实验室阶段前未经批准的行政处罚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《兽药管理条例》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九条第二款：违反本条例规定，研制新兽药不具备规定的条件擅自使用一类病原微生物或者在实验室阶段前未经批准的，责令其停止实验，并处5万元以上10万元以下罚款；构成犯罪的，依法追究刑事责任；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条第一款：本条例规定的行政处罚由县级以上人民政府兽医行政管理部门决定；其中吊销兽药生产许可证、兽药经营许可证、撤销兽药批准证明文件或者责令停止兽药研究试验的，由发证、批准、备案部门决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1、立案责任：对研制新兽药不具备规定的条件擅自使用一类病原微生物或者在实验室阶段前未经批准的违法行为，予以审查，决定是否立案。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7、执行责任：依照生效的行政处罚决定，进行处罚。责令其停止实验，并处5万元以上10万元以下罚款；构成犯罪的，依法追究刑事责任；给他人造成损失的，依法承担赔偿责任。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23</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对违法经营动物预防用生物制品或者未经批准进行动物传染病疫（菌）苗研制及其应用试验活动的行政处罚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《河北省动物防疫条例》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六条：违反本条例第九条、第十一条第二款规定，违法经营动物预防用生物制品或者未经批准进行动物传染病疫（菌）苗研制及其应用试验活动的，由畜牧兽医行政管理部门给予警告，责令停止经营、研制及试验活动。没收非法经营或者研制的制品和非法收入，有违法所得的，并处违法所得三倍以下罚款，但最高不超过三万元；没有违法所得的，可处一万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第九条：实行计划免疫和强制免疫的动物预防用生物制品由省动物防疫监督机构统一订购，实行逐级供应。其他任何单位和个人不得销售或者以其他方式向他人提供动物预防用生物制品。</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第十一条第二款：任何单位和个人未经批准不得进行动物传染病疫（菌）苗的研制及其应用试验活动。</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1、立案责任：对违法经营动物预防用生物制品或者未经批准进行动物传染病疫（菌）苗研制及其应用试验活动的违法行为，予以审查，决定是否立案。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责令停止经营、研制及试验活动。没收非法经营或者研制的制品和非法收入，有违法所得的，并处违法所得三倍以下罚款，但最高不超过三万元；没有违法所得的，可处一万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24</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对依法应当检疫而未经检疫动物产品，不具备补检条件的行政处罚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九条第一款第四项：动物卫生监督机构执行监督检查任务，可以采取下列措施，有关单位和个人不得拒绝或者阻碍：（四）对依法应当检疫而未经检疫的动物产品，具备补检条件的实施补检，不具备补检条件的予以没收销毁。</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1、立案责任：对依法应当检疫而未经检疫动物产品，不具备补检条件的违法行为，予以审查，决定是否立案。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7、执行责任：依照生效的行政处罚决定，进行处罚。对依法应当检疫而未经检疫的动物产品，具备补检条件的实施补检，不具备补检条件的予以没收销毁。</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25</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对饲养的动物不按照动物疫病强制免疫计划进行免疫接种等行为的行政处罚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三条：违反本法规定，有下列行为之一的，由动物卫生监督机构责令改正，给予警告；拒不改正的，由动物卫生监督机构代作处理，所需处理费用由违法行为人承担，可以处一千元以下罚款：（一）对饲养的动物不按照动物疫病强制免疫计划进行免疫接种的；（二）种用、乳用动物未经检测或者经检测不合格而不按照规定处理的；（三）动物、动物产品的运载工具在装载前和卸载后没有及时清洗、消毒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2.《河北省动物防疫条例》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第七条第二款：饲养、经营动物的单位和个人，应当按照动物疫病的强制免疫计划，接受动物防疫监督机构对其饲养、经营的动物进行免疫接种。</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五条：违反本条例第七条、第三十一条规定，对饲养经营动物不按照动物强制免疫计划和国家及本省有关规定及时进行免疫接种和消毒，以及不按照规定对动物、动物产品的运载工具和有关器具、包装物进行清理、消毒和无害化处理的，由动物防疫监督机构给予警告，责令改正；拒不改正的，由动物防疫监督机构依法代作处理，处理所需费用由违法行为人承担。</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条：饲养种用、乳用动物，畜主应当建立动物防疫档案，并报当地动物防疫监督机构对其动物进行健康检查和疫病检测，取得省人民政府畜牧兽医行政管理部门统一监制、动物防疫监督机构核发的动物健康合格证，每半年申请进行一次动物疫病检测。未取得动物健康合格证的种用、乳用动物不得作为种用、乳用。</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第三十七条：违反本条例第十条规定，种用、乳用动物未取得动物健康合格证明的，由动物防疫监督机构给予警告，责令改正；拒不改正的，处以一千元以下罚款。</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1、立案责任：对饲养的动物不按照动物疫病强制免疫计划进行免疫接种等违法行为，予以审查，决定是否立案。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责令改正，给予警告；拒不改正的，由动物卫生监督机构代作处理，所需处理费用由违法行为人承担，可以处一千元以下罚款，不按照规定对动物、动物产品的运载工具和有关器具、包装物进行清理、消毒和无害化处理的，由动物防疫监督机构给予警告，责令改正；拒不改正的，由动物防疫监督机构依法代作处理，处理所需费用由违法行为人承担。种用、乳用动物未取得动物健康合格证明的，由动物防疫监督机构给予警告，责令改正；拒不改正的，处以一千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26</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对不按照规定处置染疫动物及其排泄物，染疫动物产品等行为的行政处罚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五条：违反本法规定，不按照国务院兽医主管部门规定处置染疫动物及其排泄物，染疫动物产品，病死或者死因不明的动物尸体，运载工具中的动物排泄物以及垫料、包装物、容器等污染物以及其他经检疫不合格的动物、动物产品的，由动物卫生监督机构责令无害化处理，所需处理费用由违法行为人承担，可以处三千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2.《畜禽规模养殖污染防治条例》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第四十二条：未按照规定对染疫畜禽和病害畜禽养殖废弃物进行无害化处理的，由动物卫生监督机构责令无害化处理，所需处理费用由违法行为人承担，可以处3000元以下的罚款。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3.《动物诊疗机构管理办法》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第二十四条：动物诊疗机构不得随意抛弃病死动物、动物病理组织和医疗废弃物，不得排放未经无害化处理或者处理不达标的诊疗废水。</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第三十四条：动物诊疗机构违反本办法第二十四条规定的，由动物卫生监督机构按照《中华人民共和国动物防疫法》第七十五条的规定予以处罚</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1、立案责任：对不按照规定处置染疫动物及其排泄物，染疫动物产品等行为的违法行为，予以审查，决定是否立案。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7、执行责任：依照生效的行政处罚决定，进行处罚。由动物卫生监督机构责令无害化处理，所需处理费用由违法行为人承担，可以处三千元以下罚款。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27</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对屠宰、经营、运输动物或者生产、经营、加工、贮藏、运输不符合动物防疫规定的动物产品等行为的处罚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五条：禁止屠宰、经营、运输下列动物和生产、经营、加工、贮藏、运输下列动物产品：（一）封锁疫区内与所发生动物疫病有关的；（二）疫区内易感染的；（三）依法应当检疫而未经检疫或者检疫不合格的；（四）染疫或者疑似染疫的：（五）病死或者死因不明的；（六）其他不符合国务院兽医主管部门有关动物防疫规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六条：违反本法第二十五条规定，屠宰、经营、运输动物或者生产、经营、加工、贮藏、运输动物产品的，由动物卫生监督机构责令改正、采取补救措施，没收违法所得和动物、动物产品，并处同类检疫合格动物、动物产品货值金额一倍以上五倍以下罚款；其中依法应当检疫而未检疫的，依照本法第七十八条的规定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2.《河北省动物防疫条例》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二条：禁止经营下列动物、动物产品：（一）封锁疫区内与所发生动物疫病有关的；（二）疫区内易感染的；（三）依法应当检疫而未经检疫或者检疫不合格的；（四）染疫的；（五）病死、毒死或者死因不明的；（六）其他不符合国家和本省有关动物防疫规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七条：发生一类动物疫病、新的动物疫病或者二、三类动物疫病呈暴发流行时，疫点、疫区和受威胁区应当分别采取相应措施。（一）疫点应当采取的措施：2．禁止动物、动物产品流出疫点；（二）疫区应当采取的措施：3．禁止易感染动物、动物产品的经营或者流动；（三）受威胁区应当采取的措施：禁止从疫区购进易感染动物及动物产品或者到疫区放牧。</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八条：违反本条例第十二条、第十七条规定，经营国家明令禁止的动物、动物产品或者从疫区运出易感染动物、动物产品的，由动物防疫监督机构责令停止经营和运出，立即采取有效措施收回已售出和运出的动物、动物产品，没收违法所得和未售出的动物、动物产品；情节严重的，可以并处违法所得五倍以下的罚款；构成犯罪的，依法追究刑事责任。</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1、立案责任：对屠宰、经营、运输动物或者生产、经营、加工、贮藏、运输不符合动物防疫规定的动物产品等违法行为，予以审查，决定是否立案。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7、执行责任：依照生效的行政处罚决定，进行处罚。由动物卫生监督机构责令改正、采取补救措施，没收违法所得和动物、动物产品，并处同类检疫合格动物、动物产品货值金额一倍以上五倍以下罚款。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28</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对未办理审批手续，跨省、自治区、直辖市引进乳用动物、种用动物及其精液、胚胎、种蛋的等行为的行政处罚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七条：违反本法规定，有下列行为之一的，由动物卫生监督机构责令改正，处一千元以上一万元以下罚款；情节严重的，处一万元以上十万元以下罚款：（二）未办理审批手续，跨省、自治区、直辖市引进乳用动物、种用动物及其精液、胚胎、种蛋的；（三）未经检疫，向无规定动物疫病区输入动物、动物产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2.《动物防疫条件审查办法》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第三十一条：本办法第二条第一款所列场所在取得《动物防疫条件合格证》后，变更场址或者经营范围的，应当重新申请办理《动物防疫条件合格证》，由原发证机关予以注销。</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变更布局、设施设备和制度，可能引起动物防疫条件发生变化的，应当提前30日向原发证机关报告。发证机关应当在20日内完成审查，并将审查结果通知申请人。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变更单位名称或者其负责人的，应当在变更后15日内持有效证明申请变更《动物防疫条件合格证》。</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第三十六条第一款：违反本办法第三十一条第一款规定，变更场所地址或者经营范围，未按规定重新申请《动物防疫条件合格证》的，按照《中华人民共和国动物防疫法》第七十七条规定予以处罚。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3.《河北省动物防疫条例》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三条：动物饲养场、屠宰厂（场、点）、肉类联合加工厂以及从事动物、动物产品的贮存、运输、销售和动物产品加工等活动的，应当符合国务院畜牧兽医行政管理部门和省畜牧兽医行政管理部门规定的动物防疫条件，取得动物防疫监督机构核发的动物防疫合格证，并接受动物防疫监督机构的监督检查。未取得动物防疫合格证的，不得开业或投产使用。</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第四十条：违反本条例第三十三条规定的，由动物防疫监督机构给予警告，责令改正；拒不改正的，吊销动物防疫合格证，并处一万元以下的罚款。</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1、立案责任：对未办理审批手续，跨省、自治区、直辖市引进乳用动物、种用动物及其精液、胚胎、种蛋的等违法行为，予以审查，决定是否立案。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责令改正，处一千元以上一万元以下罚款；情节严重的，处一万元以上十万元以下罚款。违反《河北省动物防疫条例》第三十三条规定的，由动物防疫监督机构给予警告，责令改正；拒不改正的，吊销动物防疫合格证，并处一万元以下的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29</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对屠宰、经营、运输的动物未附有检疫证明，经营和运输的动物产品未附有检疫证明、检疫标志的行政处罚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八条第一款：违反本法规定，屠宰、经营、运输的动物未附有检疫证明，经营和运输的动物产品未附有检疫证明、检疫标志的，由动物卫生监督机构责令改正，处同类检疫合格动物、动物产品货值金额百分之十以上百分之五十以下罚款；对货主以外的承运人处运输费用一倍以上三倍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2.《河北省动物防疫条例》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第二十二条：经检疫合格的动物产品实行分割包装销售的，其使用的包装物上应当印有或者加贴省人民政府畜牧兽医行政管理部门统一监制的检疫标志。</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第二十三条：从事动物、动物产品批发的单位和个人，在批发前应主动向当地动物防疫监督机构出示检疫证明，经动物防疫监督机构查验检疫证明和动物、动物产品，合格的换成相应的检疫合格证明。</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第二十四条第一款：屠宰厂（场、点）和肉类联合加工厂接收的动物及贮存单位接收的动物、动物产品必须有动物防疫监督机构出具的检疫证明。</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九条：违反本条例第二十二条、第二十三条、第二十四条规定，经营依法应当检疫而没有检疫证明的动物、动物产品，由动物防疫监督机构责令停止经营，没收违反所得；对未售出的动物、动物产品依法补检；对检疫不合格的动物、动物产品，由畜货主在动物检疫员监督下进行防疫消毒和其他无害化处理；无法补检和无法作无害化处理的，予以销毁。</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1、立案责任：对屠宰、经营、运输的动物未附有检疫证明，经营和运输的动物产品未附有检疫证明、检疫标志的违法行为，予以审查，决定是否立案。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责令改正，处同类检疫合格动物、动物产品货值金额百分之十以上百分之五十以下罚款；对货主以外的承运人处运输费用一倍以上三倍以下罚款。违反《河北省动物防疫条例》第二十二条、第二十三条、第二十四条规定，经营依法应当检疫而没有检疫证明的动物、动物产品，由动物防疫监督机构责令停止经营，没收违反所得；对未售出的动物、动物产品依法补检；对检疫不合格的动物、动物产品，由畜货主在动物检疫员监督下进行防疫消毒和其他无害化处理；无法补检和无法作无害化处理的，予以销毁。</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30</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对参加展览、演出和比赛的动物未附有检疫证明的行政处罚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第七十八条第二款：违反本法规定，参加展览、演出和比赛的动物未附有检疫证明的，由动物卫生监督机构责令改正，处一千元以上三千元以下罚款。</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1、立案责任：对参加展览、演出和比赛的动物未附有检疫证明的违法行为，予以审查，决定是否立案。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7、执行责任：依照生效的行政处罚决定，进行处罚。由动物卫生监督机构责令改正，处一千元以上三千元以下罚款。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31</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对转让、伪造或者变造检疫证明、检疫标志或者畜禽标识的行政处罚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第七十九条：违反本法规定，转让、伪造或者变造检疫证明、检疫标志或者畜禽标识的，由动物卫生监督机构没收违法所得，收缴检疫证明、检疫标志或者畜禽标识，并处三千元以上三万元以下罚款。</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1、立案责任：对转让、伪造或者变造检疫证明、检疫标志或者畜禽标识的违法行为，予以审查，决定是否立案。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7、执行责任：依照生效的行政处罚决定，进行处罚。由动物卫生监督机构没收违法所得，收缴检疫证明、检疫标志或者畜禽标识，并处三千元以上三万元以下罚款。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32</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对不遵守县级以上人民政府及其兽医主管部门依法作出的有关控制、扑灭动物疫病规定等行为的行政处罚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八十条：违反本法规定，有下列行为之一的，由动物卫生监督机构责令改正，处一千元以上一万元以下罚款：（一）不遵守县级以上人民政府及其兽医主管部门依法作出的有关控制、扑灭动物疫病规定的；（二）藏匿、转移、盗掘已被依法隔离、封存、处理的动物和动物产品的；（三）发布动物疫情的。</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1、立案责任：对不遵守县级以上人民政府及其兽医主管部门依法作出的有关控制、扑灭动物疫病规定等违法行为，予以审查，决定是否立案。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7、执行责任：依照生效的行政处罚决定，进行处罚。由动物卫生监督机构责令改正，处一千元以上一万元以下罚款。</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33</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对未取得动物诊疗许可证从事动物诊疗活动的行政处罚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八十一条第一款：违反本法规定，未取得动物诊疗许可证从事动物诊疗活动的，由动物卫生监督机构责令停止诊疗活动，没收违法所得；违法所得在三万元以上的，并处违法所得一倍以上三倍以下罚款；没有违法所得或者违法所得不足三万元的，并处三千元以上三万元以下罚款。</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1、立案责任：对未取得动物诊疗许可证从事动物诊疗活动的违法行为，予以审查，决定是否立案。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进行处罚。由动物卫生监督机构责令停止诊疗活动，没收违法所得；违法所得在三万元以上的，并处违法所得一倍以上三倍以下罚款；没有违法所得或者违法所得不足三万元的，并处三千元以上三万元以下罚款。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34</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对动物诊疗机构造成动物疫病扩散的行政处罚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第八十一条第二款：动物诊疗机构违反本法规定，造成动物疫病扩散的，由动物卫生监督机构责令改正，处一万元以上五万元以下罚款；情节严重的，由发证机关吊销动物诊疗许可证。</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1、立案责任：发现动物诊疗机构在诊疗过程中造成动物疫情扩散的违法行为，予以审查，决定是否立案。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35</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对饲养种用、乳用动物未取得动物健康合格证明的行为的行政处罚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《河北省动物防疫条例》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条：饲养种用、乳用动物，畜主应当建立动物防疫档案，并报当地动物防疫监督机构对其动物进行健康检查和疫病检测，取得省人民政府畜牧兽医行政管理部门统一监制、动物防疫监督机构核发的动物健康合格证，每半年申请进行一次动物疫病检测。未取得动物健康合格证的种用、乳用动物不得作为种用、乳用。</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第三十七条：违反本条例第十条规定，种用、乳用动物未取得动物健康合格证明的，由动物防疫监督机构给予警告，责令改正；拒不改正的，处以一千元以下罚款。</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36</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对拒绝阻碍重大动物疫情监测、不报告动物群体发病死亡情况的行政处罚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《重大动物疫情应急条例》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六条：违反本条例规定，拒绝、阻碍动物防疫监督机构进行重大动物疫情监测，或者发现动物出现群体发病或者死亡，不向当地动物防疫监督机构报告的，由动物防疫监督机构给予警告，并处2000元以上5000元以下的罚款；构成犯罪的，依法追究刑事责任。</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1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37</w:t>
            </w:r>
          </w:p>
        </w:tc>
        <w:tc>
          <w:tcPr>
            <w:tcW w:w="7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1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对不符合条件采集重大动物疫病病料，或者在重大动物疫病病原分离时不遵守国家有关生物安全管理规定行政处罚</w:t>
            </w:r>
          </w:p>
        </w:tc>
        <w:tc>
          <w:tcPr>
            <w:tcW w:w="70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1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《重大动物疫情应急条例》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七条：违反本条例规定，不符合相应条件采集重大动物疫病病料，或者在重大动物疫病病原分离时不遵守国家有关生物安全管理规定的，由动物防疫监督机构给予警告，并处5000元以下的罚款；构成犯罪的，依法追究刑事责任。</w:t>
            </w:r>
          </w:p>
        </w:tc>
        <w:tc>
          <w:tcPr>
            <w:tcW w:w="38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92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401"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bl>
    <w:p>
      <w:pPr>
        <w:tabs>
          <w:tab w:val="left" w:pos="7937"/>
        </w:tabs>
        <w:spacing w:line="240" w:lineRule="exact"/>
        <w:jc w:val="center"/>
        <w:rPr>
          <w:rFonts w:hint="eastAsia" w:ascii="宋体" w:hAnsi="宋体" w:eastAsia="宋体"/>
          <w:sz w:val="15"/>
          <w:szCs w:val="15"/>
        </w:rPr>
      </w:pPr>
    </w:p>
    <w:p>
      <w:pPr>
        <w:tabs>
          <w:tab w:val="left" w:pos="7937"/>
        </w:tabs>
        <w:spacing w:line="240" w:lineRule="exact"/>
        <w:jc w:val="center"/>
        <w:rPr>
          <w:rFonts w:hint="eastAsia" w:ascii="宋体" w:hAnsi="宋体" w:eastAsia="宋体"/>
          <w:sz w:val="15"/>
          <w:szCs w:val="15"/>
        </w:rPr>
      </w:pPr>
    </w:p>
    <w:p>
      <w:pPr>
        <w:tabs>
          <w:tab w:val="left" w:pos="7937"/>
        </w:tabs>
        <w:spacing w:line="240" w:lineRule="exact"/>
        <w:jc w:val="center"/>
        <w:rPr>
          <w:rFonts w:hint="eastAsia" w:ascii="宋体" w:hAnsi="宋体" w:eastAsia="宋体"/>
          <w:sz w:val="15"/>
          <w:szCs w:val="15"/>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567"/>
        <w:gridCol w:w="850"/>
        <w:gridCol w:w="709"/>
        <w:gridCol w:w="4536"/>
        <w:gridCol w:w="3969"/>
        <w:gridCol w:w="2835"/>
        <w:gridCol w:w="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38</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对三级、四级实验室未经批准从事某种高致病性病原微生物或者疑似高致病性病原微生物实验活动的行政处罚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《病原微生物实验室生物安全管理条例》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六条：三级、四级实验室未经批准从事某种高致病性病原微生物或者疑似高致病性病原微生物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39</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对在不符合相应生物安全要求的实验室从事病原微生物相关实验活动的行政处罚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《病原微生物实验室生物安全管理条例》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五十九条：违反本条例规定，在不符合相应生物安全要求的实验室从事病原微生物相关实验活动的，由县级以上地方人民政府卫生主管部门、兽医主管部门依照各自职责，责令停止有关活动，监督其将用于实验活动的病原微生物销毁或者送交保藏机构，并给予警告；造成传染病传播、流行或者其他严重后果的，由实验室的设立单位对主要负责人、直接负责的主管人员和其他直接责任人员，依法给予撤职、开除的处分；构成犯罪的，依法追究刑事责任。</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40</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对病原微生物实验室违反实验室日常管理规范和要求的行政处罚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《病原微生物实验室生物安全管理条例》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条：实验室有下列行为之一的，由县级以上地方人民政府卫生主管部门、兽医主管部门依照各自职责，责令限期改正，给予警告；逾期不改正的，由实验室的设立单位对主要负责人、直接负责的主管人员和其他直接责任人员，依法给予撤职、开除的处分；有许可证件的，并由原发证部门吊销有关许可证件：（一）未依照规定在明显位置标示国务院卫生主管部门和兽医主管部门规定的生物危险标识和生物安全实验室级别标志的；（二）未向原批准部门报告实验活动结果以及工作情况的；（三）未依照规定采集病原微生物样本，或者对所采集样本的来源、采集过程和方法等未作详细记录的；（四）新建、改建或者扩建一级、二级实验室未向设区的市级人民政府卫生主管部门或者兽医主管部门备案的；（五）未依照规定定期对工作人员进行培训，或者工作人员考核不合格允许其上岗，或者批准未采取防护措施的人员进入实验室的；（六）实验室工作人员未遵守实验室生物安全技术规范和操作规程的；（七）未依照规定建立或者保存实验档案的；（八）未依照规定制定实验室感染应急处置预案并备案的。</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41</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对实验室的设立单位未建立健全安全保卫制度，或者未采取安全保卫措施的行政处罚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《病原微生物实验室生物安全管理条例》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一条：经依法批准从事高致病性病原微生物相关实验活动的实验室的设立单位未建立健全安全保卫制度，或者未采取安全保卫措施的，由县级以上地方人民政府卫生主管部门、兽医主管部门依照各自职责，责令限期改正；逾期不改正，导致高致病性病原微生物菌（毒）种、样本被盗、被抢或者造成其他严重后果的，责令停止该项实验活动，该实验室2年内不得申请从事高致病性病原微生物实验活动；造成传染病传播、流行的，该实验室设立单位的主管部门还应当对该实验室的设立单位的直接负责的主管人员和其他直接责任人员，依法给予降级、撤职、开除的处分；构成犯罪的，依法追究刑事责任。</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42</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对未经批准运输高致病性病原微生物菌（毒）种或者样本等行为导致高致病性病原微生物菌（毒）种或者样本被盗、被抢、丢失、泄露的行政处罚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《病原微生物实验室生物安全管理条例》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二条：未经批准运输高致病性病原微生物菌（毒）种或者样本，或者承运单位经批准运输高致病性病原微生物菌（毒）种或者样本未履行保护义务，导致高致病性病原微生物菌（毒）种或者样本被盗、被抢、丢失、泄漏的，由县级以上地方人民政府卫生主管部门、兽医主管部门依照各自职责，责令采取措施，消除隐患，给予警告；造成传染病传播、流行或者其他严重后果的，由托运单位和承运单位的主管部门对主要负责人、直接负责的主管人员和其他直接责任人员，依法给予撤职、开除的处分；构成犯罪的，依法追究刑事责任。</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43</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对实验室在相关实验活动结束后，未依照规定及时将病原微生物菌（毒）种和样本就地销毁或者送交保藏机构保管等行为的行政处罚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《病原微生物实验室生物安全管理条例》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三条：有下列行为之一的，由实验室所在地的设区的市级以上地方人民政府卫生主管部门、兽医主管部门依照各自职责，责令有关单位立即停止违法活动，监督其将病原微生物销毁或者送交保藏机构；造成传染病传播、流行或者其他严重后果的，由其所在单位或者其上级主管部门对主要负责人、直接负责的主管人员和其他直接责任人员，依法给予撤职、开除的处分；有许可证件的，并由原发证部门吊销有关许可证件；构成犯罪的，依法追究刑事责任：（一）实验室在相关实验活动结束后，未依照规定及时将病原微生物菌（毒）种和样本就地销毁或者送交保藏机构保管的；（二）实验室使用新技术、新方法从事高致病性病原微生物相关实验活动未经国家病原微生物实验室生物安全专家委员会论证的；（三）未经批准擅自从事在我国尚未发现或者已经宣布消灭的病原微生物相关实验活动的；（四）在未经指定的专业实验室从事在我国尚未发现或者已经宣布消灭的病原微生物相关实验活动的；（五）在同一个实验室的同一个独立安全区域内同时从事两种或者两种以上高致病性病原微生物的相关实验活动的。</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44</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对感染临床症状或者体征等情形未依照规定报告或者未依照规定采取控制措施的行政处罚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《病原微生物实验室生物安全管理条例》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五条：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由县级以上地方人民政府卫生主管部门、兽医主管部门依照各自职责，责令限期改正，给予警告；造成传染病传播、流行或者其他严重后果的，由其设立单位对实验室主要负责人、直接负责的主管人员和其他直接责任人员，依法给予撤职、开除的处分；有许可证件的，并由原发证部门吊销有关许可证件；构成犯罪的，依法追究刑事责任</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45</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对拒绝接受兽医主管部门依法开展有关高致病性病原微生物扩散的调查取证、采集样品等活动或者依照规定采取有关预防、控制措施的行政处罚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《病原微生物实验室生物安全管理条例》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六十六条：拒绝接受卫生主管部门、兽医主管部门依法开展有关高致病性病原微生物扩散的调查取证、采集样品等活动或者依照本条例规定采取有关预防、控制措施的，由县级以上人民政府卫生主管部门、兽医主管部门依照各自职责，责令改正，给予警告；造成传染病传播、流行以及其他严重后果的，由实验室的设立单位对实验室主要负责人、直接负责的主管人员和其他直接责任人员，依法给予降级、撤职、开除的处分；有许可证件的，并由原发证部门吊销有关许可证件；构成犯罪的，依法追究刑事责任。</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46</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对违反规定保藏或者提供菌（毒）种或者样本的行政处罚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《动物病原微生物菌（毒）种保藏管理办法》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二条：违反本办法规定，保藏或者提供菌（毒）种或者样本的，由县级以上地方人民政府兽医主管部门责令其将菌（毒）种或者样本销毁或者送交保藏机构；拒不销毁或者送交的，对单位处一万元以上三万元以下罚款，对个人处五百元以上一千元以下罚款。</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47</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对使用转让、伪造或变造《动物防疫条件合格证》的行政处罚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七十七条：违反本法规定，有下列行为之一的，由动物卫生监督机构责令改正，处一千元以上一万元以下罚款；情节严重的，处一万元以上十万元以下罚款：（一）兴办动物饲养场（养殖小区）和隔离场所，动物屠宰加工场所，以及动物和动物产品无害化处理场所，未取得动物防疫条件合格证的；（二）未办理审批手续，跨省、自治区、直辖市引进乳用动物、种用动物及其精液、胚胎、种蛋的；（三）未经检疫，向无规定动物疫病区输入动物、动物产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2.《动物防疫条件审查办法》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第三十八条第二款：使用转让、伪造或者变造《动物防疫条件合格证》的，由动物卫生监督机构按照《中华人民共和国动物防疫法》第七十七条规定予以处罚。</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48</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对跨省、自治区、直辖市引进用于饲养的非乳用、非种用动物和水产苗种到达目的地后，未向所在地动物卫生监督机构报告的行政处罚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《动物检疫管理办法》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第十九条：跨省、自治区、直辖市引进用于饲养的非乳用、非种用动物到达目的地后，货主或者承运人应当在24小时内向所在地县级动物卫生监督机构报告，并接受监督检查。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第三十一条：跨省、自治区、直辖市引进水产苗种到达目的地后，货主或承运人应当在24小时内按照有关规定报告，并接受当地动物卫生监督机构的监督检查。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八条：违反本办法第十九条、第三十一条规定，跨省、自治区、直辖市引进用于饲养的非乳用、非种用动物和水产苗种到达目的地后，未向所在地动物卫生监督机构报告的，由动物卫生监督机构处五百元以上二千元以下罚款。</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392"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49</w:t>
            </w:r>
          </w:p>
        </w:tc>
        <w:tc>
          <w:tcPr>
            <w:tcW w:w="567"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行政处罚</w:t>
            </w:r>
          </w:p>
        </w:tc>
        <w:tc>
          <w:tcPr>
            <w:tcW w:w="85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对跨省、自治区、直辖市引进的乳用、种用动物到达输入地后，未按规定进行隔离观察的行政处罚</w:t>
            </w:r>
          </w:p>
        </w:tc>
        <w:tc>
          <w:tcPr>
            <w:tcW w:w="7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453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《动物检疫管理办法》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条：跨省、自治区、直辖市引进的乳用、种用动物到达输入地后，在所在地动物卫生监督机构的监督下，应当在隔离场或饲养场（养殖小区）内的隔离舍进行隔离观察，大中型动物隔离期为45天，小型动物隔离期为30天。经隔离观察合格的方可混群饲养；不合格的，按照有关规定进行处理。隔离观察合格后需继续在省内运输的，货主应当申请更换《动物检疫合格证明》。动物卫生监督机构更换《动物检疫合格证明》不得收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第四十九条：违反本办法第二十条规定，跨省、自治区、直辖市引进的乳用、种用动物到达输入地后，未按规定进行隔离观察的，由动物卫生监督机构责令改正，处二千元以上一万元以下罚款</w:t>
            </w:r>
          </w:p>
        </w:tc>
        <w:tc>
          <w:tcPr>
            <w:tcW w:w="396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8、其他法律法规规章文件规定应履行的责任。</w:t>
            </w:r>
          </w:p>
        </w:tc>
        <w:tc>
          <w:tcPr>
            <w:tcW w:w="2835"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tc>
        <w:tc>
          <w:tcPr>
            <w:tcW w:w="316"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bl>
    <w:p>
      <w:pPr>
        <w:tabs>
          <w:tab w:val="left" w:pos="7937"/>
        </w:tabs>
        <w:spacing w:line="240" w:lineRule="exact"/>
        <w:jc w:val="center"/>
        <w:rPr>
          <w:rFonts w:hint="eastAsia" w:ascii="宋体" w:hAnsi="宋体" w:eastAsia="宋体"/>
          <w:sz w:val="15"/>
          <w:szCs w:val="15"/>
        </w:rPr>
      </w:pPr>
    </w:p>
    <w:p>
      <w:pPr>
        <w:tabs>
          <w:tab w:val="left" w:pos="7937"/>
        </w:tabs>
        <w:spacing w:line="240" w:lineRule="exact"/>
        <w:jc w:val="center"/>
        <w:rPr>
          <w:rFonts w:hint="eastAsia" w:ascii="宋体" w:hAnsi="宋体" w:eastAsia="宋体"/>
          <w:sz w:val="15"/>
          <w:szCs w:val="15"/>
        </w:rPr>
      </w:pPr>
    </w:p>
    <w:p>
      <w:pPr>
        <w:tabs>
          <w:tab w:val="left" w:pos="7937"/>
        </w:tabs>
        <w:spacing w:line="240" w:lineRule="exact"/>
        <w:jc w:val="center"/>
        <w:rPr>
          <w:rFonts w:hint="eastAsia" w:ascii="宋体" w:hAnsi="宋体" w:eastAsia="宋体"/>
          <w:sz w:val="15"/>
          <w:szCs w:val="15"/>
        </w:rPr>
      </w:pPr>
    </w:p>
    <w:tbl>
      <w:tblPr>
        <w:tblStyle w:val="5"/>
        <w:tblW w:w="14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146"/>
        <w:gridCol w:w="219"/>
        <w:gridCol w:w="99"/>
        <w:gridCol w:w="929"/>
        <w:gridCol w:w="24"/>
        <w:gridCol w:w="409"/>
        <w:gridCol w:w="814"/>
        <w:gridCol w:w="164"/>
        <w:gridCol w:w="540"/>
        <w:gridCol w:w="543"/>
        <w:gridCol w:w="779"/>
        <w:gridCol w:w="1558"/>
        <w:gridCol w:w="1137"/>
        <w:gridCol w:w="1230"/>
        <w:gridCol w:w="125"/>
        <w:gridCol w:w="1338"/>
        <w:gridCol w:w="130"/>
        <w:gridCol w:w="2563"/>
        <w:gridCol w:w="137"/>
        <w:gridCol w:w="177"/>
        <w:gridCol w:w="247"/>
        <w:gridCol w:w="56"/>
        <w:gridCol w:w="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50</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对未经兽医执业注册从事动物诊疗活动的行政处罚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《中华人民共和国动物防疫法》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第八十二条第一款：违反本法规定，未经兽医执业注册从事动物诊疗活动的，由动物卫生监督机构责令停止动物诊疗活动，没收违法所得，并处一千元以上一万元以下罚款。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51</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对不使用病历，或者应当开具处方未开具处方的执业兽医师等行为的行政处罚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《执业兽医管理办法》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第四条第三款：县级以上地方人民政府设立的动物卫生监督机构负责执业兽医的监督执法工作。</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三十五条：执业兽医师在动物诊疗活动中有下列情形之一的，由动物卫生监督机构给予警告，责令限期改正；拒不改正或者再次出现同类违法行为的，处1000元以下罚款：（一）不使用病历，或者应当开具处方未开具处方的；（二）使用不规范的处方笺、病历册，或者未在处方笺、病历册上签名的；（三）未经亲自诊断、治疗，开具处方药、填写诊断书、出具有关证明文件的；（四）伪造诊断结果，出具虚假证明文件的。</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52</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对变更机构名称或者法定代表人未办理变更手续的动物诊疗机构等行为的行政处罚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《动物诊疗机构管理办法》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三十二条：违反本办法规定，动物诊疗机构有下列情形之一的，由动物卫生监督机构给予警告，责令限期改正；拒不改正或者再次出现同类违法行为的，处以一千元以下罚款。（一）变更机构名称或者法定代表人未办理变更手续的； （二）未在诊疗场所悬挂动物诊疗许可证或者公示从业人员基本情况的；（三）不使用病历，或者应当开具处方未开具处方的；（四）使用不规范的病历、处方笺的。</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53</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对未经定点从事生猪屠宰活动等行为的行政处罚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《生猪屠宰管理条例》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四条第一、二款：违反本条例规定，未经定点从事生猪屠宰活动的，由畜牧兽医行政主管部门予以取缔，没收生猪、生猪产品、屠宰工具和设备以及违法所得，并处货值金额3倍以上5倍以下的罚款；货值金额难以确定的，对单位并处10万元以上20万元以下的罚款，对个人并处5000元以上1万元以下的罚款；构成犯罪的，依法追究刑事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冒用或者使用伪造的生猪定点屠宰证书或者生猪定点屠宰标志牌的，依照前款的规定处罚。</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54</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对生猪定点屠宰厂（场）出借、转让生猪定点屠宰证书或者生猪定点屠宰标志牌的行政处罚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《生猪屠宰管理条例》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二十四条第三款：生猪定点屠宰厂（场）出借、转让生猪定点屠宰证书或者生猪定点屠宰标志牌的，由设区的市级人民政府取消其生猪定点屠宰厂（场）资格；有违法所得的，由畜牧兽医行政主管部门没收违法所得。</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55</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对生猪定点屠宰厂（场）不符合国家规定的操作流程和技术要求屠宰生猪等行为的行政处罚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《生猪屠宰管理条例》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二十五条：生猪定点屠宰厂（场）有下列情形之一的，由畜牧兽医行政主管部门责令限期改正，处2万元以上5万元以下的罚款；逾期不改正的，责令停业整顿，对其主要负责人处5000元以上1万元以下的罚款：（一）屠宰生猪不符合国家规定的操作规程和技术要求的；（二）未如实记录其屠宰的生猪来源和生猪产品流向的；（三）未建立或者实施肉品品质检验制度的；（四）对经肉品品质检验不合格的生猪产品未按照国家有关规定处理并如实记录处理情况的。</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56</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对生猪定点屠宰厂（场）出厂（场）未经肉品品质检验或者经肉品品质检验不合格的生猪产品的行政处罚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《生猪屠宰管理条例》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二十六条：生猪定点屠宰厂（场）出厂（场）未经肉品品质检验或者经肉品品质检验不合格的生猪产品的，由畜牧兽医行政主管部门责令停业整顿，没收生猪产品和违法所得，并处货值金额1倍以上3倍以下的罚款，对其主要负责人处1万元以上2万元以下的罚款；货值金额难以确定的，并处5万元以上10万元以下的罚款；造成严重后果的，由设区的市级人民政府取消其生猪定点屠宰厂（场）资格；构成犯罪的，依法追究刑事责任。</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57</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对生猪定点屠宰厂（场）、其他单位或者个人对生猪、生猪产品注水或者注入其他物质的行政处罚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《生猪屠宰管理条例》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二十七条：生猪定点屠宰厂（场）、其他单位或者个人对生猪、生猪产品注水或者注入其他物质的，由畜牧兽医行政主管部门没收注水或者注入其他物质的生猪、生猪产品、注水工具和设备以及违法所得，并处货值金额3倍以上5倍以下的罚款，对生猪定点屠宰厂（场）或者其他单位的主要负责人处1万元以上2万元以下的罚款；货值金额难以确定的，对生猪定点屠宰厂（场）或者其他单位并处5万元以上10万元以下的罚款，对个人并处1万元以上2万元以下的罚款；构成犯罪的，依法追究刑事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生猪定点屠宰厂（场）对生猪、生猪产品注水或者注入其他物质的，除依照前款的规定处罚外，还应当由畜牧兽医行政主管部门责令停业整顿；造成严重后果，或者两次以上对生猪、生猪产品注水或者注入其他物质的，由设区的市级人民政府取消其生猪定点屠宰厂（场）资格。</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58</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对生猪定点屠宰厂（场）屠宰注水或者注入其他物质的生猪的行政处罚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《生猪屠宰管理条例》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二十八条：生猪定点屠宰厂（场）屠宰注水或者注入其他物质的生猪的，由畜牧兽医行政主管部门责令改正，没收注水或者注入其他物质的生猪、生猪产品以及违法所得，并处货值金额1倍以上3倍以下的罚款，对其主要负责人处1万元以上2万元以下的罚款；货值金额难以确定的，并处2万元以上5万元以下的罚款；拒不改正的，责令停业整顿；造成严重后果的，由设区的市级人民政府取消其生猪定点屠宰厂（场）资格。</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59</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对为未经定点违法从事生猪屠宰活动的单位或者个人提供生猪屠宰场所或者生猪产品储存设施等行为的行政处罚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《生猪屠宰管理条例》</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三十条：为未经定点违法从事生猪屠宰活动的单位或者个人提供生猪屠宰场所或者生猪产品储存设施，或者为对生猪、生猪产品注水或者注入其他物质的单位或者个人提供场所的，由畜牧兽医行政主管部门责令改正，没收违法所得，对单位并处2万元以上5万元以下的罚款，对个人并处5000元以上1万元以下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60</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对未经定点从事畜禽屠宰活动等行为的行政处罚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《河北省畜禽屠宰管理办法》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第二十三条：违反本办法规定，未经定点从事畜禽屠宰活动的，由县级以上人民政府畜牧兽医行政主管部门予以取缔，没收畜禽、畜禽产品、屠宰工具和设备以及违法所得，并处货值金额三倍以上五倍以下罚款；货值金额难以确定的，对单位并处十万元以上二十万元以下的罚款，对个人并处五千元以上一万元以下的罚款。冒用或者使用伪造的畜禽定点屠宰证书或者畜禽定点屠宰标志牌的，依照前款的规定处罚。</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1、立案责任：发现涉嫌法律违法行为，予以审查，决定是否立案。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业农村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7、执行责任：依照生效的行政处罚决定做出行政处罚。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3、执法人员玩忽职守，对应当予以制止和处罚的违法行为不予制止、处罚，致使当事人的合法权益遭受损害的；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61</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为境外制种的种子在境内销售的；从境外引进农作物或者林木种子进行引种试验的收获物作为种子在境内销售的。</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中华人民共和国种子法》第七十九条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一）为境外制种的种子在境内销售的；（二）从境外引进农作物或者林木种子进行引种试验的收获物作为种子在境内销售的，参照河北省《农作物种子管理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为境外制种的种子在境内销售的；从境外引进农作物或者林木种子进行引种试验的收获物作为种子在境内销售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62</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销售的种子应当包装而没有包装的；销售的种子没有使用说明或者标签内容不符合规定的；涂改标签的；未按规定建立、保存种子生产经营档案的；种子生产经营者在异地设立分支机构、专门经营不再分装的包装种子或者受委托生产、代销种子，未按规定备案的。</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eastAsia="zh-CN"/>
              </w:rPr>
              <w:t>《中华人民共和国种子法》第八十条有下列行为之一的，由县级以上人民政府农业、林业主管部门责令改正，处二千元以上二万元以下罚款，（一）销售的种子应当包装而没有包装的；（二）销售的种子没有使用说明或者标签内容不符合规定的；（三）涂改标签的；（四）未按规定建立、保存种子生产经营档案的；（五）种子生产经营者在异地设立分支机构、专门经营不再分装的包装种子或者受委托生产、代销种子，未按规定备案的，参照河北省《农作物种子管理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对销售的种子应当包装而没有包装的；销售的种子没有使用说明或者标签内容不符合规定的；涂改标签的；未按规定建立、保存种子生产经营档案的；种子生产经营者在异地设立分支机构、专门经营不再分装的包装种子或者受委托生产、代销种子，未按规定备案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63</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品种测试、试验和种子质量检验机构伪造测试、试验、检验数据的处罚。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eastAsia="zh-CN"/>
              </w:rPr>
              <w:t>《中华人民共和国种子法》第七十二条 品种测试、试验和种子质量检验机构伪造测试、试验、检验数据或者出具虚假证明的，由县级以上人民政府农业、林业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参照河北省《农作物种子管理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品种测试、试验和种子质量检验机构伪造测试、试验、检验数据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64</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违法向境外提供或者从境外引进种质资源的处罚。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中华人民共和国种子法》第八十二条向境外提供或者从境外引进种质资源，或者与境外机构、个人开展合作研究利用种质资源的，由国务院或者省、自治区、直辖市人民政府的农业、林业主管部门没收种质资源和违法所得，并处二万元以上。二十万元以下罚款。未取得农业、林业主管部门的批准文件携带、运输种质资源出境的，海关应当将该种质资源扣留，并移送省，自治区、直辖市人民政府农业、林业主管部门处理，参照河北省《农作物种子管理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违法向境外提供或者从境外引进种质资源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65</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经营、推广应当审定而未经审定通过的种子的处罚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中华人民共和国种子法》第七十八条由县级以上人民政府农业、林业主管部门责令停止违法行为，没收违法所得和种子，并处二万元以上二十万元以下罚款；（一）对应当审定未经审定的农作物品种进行推广、销售的，对应当审定未经审定或者应当登记未经登记的农作物品种发布广告，或者广告中有关品种的主要性状描述的内容与审定、登记公告不一致的，依照《中华人民共和国广告法》的有关规定追究法律责任，参照河北省《农作物种子管理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经营、推广应当审定而未经审定通过的种子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66</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违法经营没有标签的种子</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中华人民共和国种子法》第七十五条违反本法第四十九条第二款第二项“种子种类、品种与标签标注的内容不符或者没有标签的”为假种子，生产经营假种子的，由县级以上人民政府农业、林业主管部门责令停止生产经营，没收违法所得和种子，吊销种子生产经营许可证；违法生产经营的货值金额不足一万元的，并处一万元以上十万元以下罚款；货值金额一万元以上的，并处货值金额十倍以上二十倍以下罚款。因生产经营假种子犯罪被判处有期徒刑以上刑罚的，种子企业或者其他单位的法定代表人、直接负责的主管人员自刑罚执行完毕之日起五年内不得担任种子企业的法定代表人，高级管理人员，参照河北省《农作物种子管理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违法经营没有标签的种子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67</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经营劣质农药的处罚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农药管理条例》第五十六条由县级以上地方人民政府农业主管部门责令停止经营，没收违法所得、违法经营的农药和用于违法经营的工具、设备等，违法经营的农药货值金额不足1万元的，并处2000元以上2万元以下罚款，货值金额1万元以上的，并处货值金额2倍以上5倍以下罚款；情节严重的，由发证机关吊销农药经营许可证；构成犯罪的，依法追究刑事责任，参照京津冀地区农药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经营劣质农药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68</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经营假农药的处罚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农药管理条例》第五十五条第二项农药经营者有下列行为之一的，由县级以上地方人民政府农业主管部门责令停止经营，没收违法所得、违法经营的农药和用于违法经营的工具、设备等，违法经营的农药货值金额不足1万元的，并处5000元以上5万元以下罚款，货值金额1万元以上的，并处货值金额5倍以上10倍以下罚款；构成犯罪的，依法追究刑事责任，（二）经营假农药；第五十五条第二款有前款第二项规定的行为，情节严重的，还应当由发证机关吊销农药经营许可证，参照京津冀地区农药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经营假农药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69</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伪造、变造、转让、出租、出借农药登记证、农药生产许可证、农药经营许可证等许可证明文件的行政处罚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《农药管理条例》。第六十二条由发证机关收缴或者予以吊销，没收违法所得，并处1万元以上5万元以下罚款；构成犯罪的，依法追究刑事责任，参照京津冀地区农药行政处罚自由裁量基准。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伪造、变造、转让、出租、出借农药登记证、农药生产许可证、农药经营许可证等许可证明文件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70</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不按照国家有关农药安全使用的规定使用农药的处罚。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农药管理条例》。第六十条由县级人民政府农业主管部门责令改正，农药使用者为农产品生产企业、食品和食用农产品仓储企业、专业化病虫害防治服务组织和从事农产品生产的农民专业合作社等单位的，处5万元以上10万元以下罚款，农药使用者为个人的处1万元以下罚款；构成犯罪的，依法追究刑事责任参照京津冀地区农药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不按照国家有关农药安全使用的规定使用农药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71</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不执行农药采购台账、销售台账制度；不履行农药废弃物回收义务</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农药管理条例》第五十八条由县级以上地方人民政府农业主管部门责令改正；拒不改正或者情节严重的，处2000元以上2万元以下罚款，并由发证机关吊销农药经营许可证，参照京津冀地区农药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不执行农药采购台账、销售台账制度；不履行农药废弃物回收义务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11、其他违反法律法规规章文件规定的行为。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72</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采购、销售未附具产品质量检验合格证或者包装、标签不符合规定的农药</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农药管理条例》第五十七条由县级以上地方人民政府农业主管部门责令改正，没收违法所得和违法经营的农药，并处5000元以上5万元以下罚款；拒不改正或者情节严重的，由发证机关吊销农药经营许可证，参照京津冀地区农药行政处罚自由裁量基准。</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采购、销售未附具产品质量检验合格证或者包装、标签不符合规定的农药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73</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生产、销售未取得登记证的肥料产品；假冒、伪造肥料登记证、登记证号的；生产、销售的肥料产品有效成分或含量与登记批准的内容不符合的。</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《肥料登记管理办法》第二十六条由县级以上农业行政主管部门给予警告，并处违法所得3倍以下罚款，但最高不得超过30000元；没有违法所得的，处10000万元以下罚款。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生产、销售未取得登记证的肥料产品；假冒、伪造肥料登记证、登记证号的；生产、销售的肥料产品有效成分或含量与登记批准的内容不符合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74</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转让肥料登记证或登记证号的；登记证有效期满未经批准续展登记而继续生产该肥料产品的；生产、销售包装上未附标签、标签残缺不清或者擅自修改标签内容的。</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rPr>
              <w:t>《肥料登记管理办法》第二十七条由县级以上农业行政主管部门给予警告，并处违法所得3倍以下罚款，但最高不得超过20000元；没有违法所得的，处10000元以下罚款。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立案责任：发现转让肥料登记证或登记证号的；登记证有效期满未经批准续展登记而继续生产该肥料产品的；生产、销售包装上未附标签、标签残缺不清或者擅自修改标签内容的违法行为，予以审查，决定是否立案。2、调查责任：农业农村部门对立案的案件，指定专人负责，及时组织调查取证，与当事人有直接利害关系的应当回避。执法人员不得少于两人，调查时应出示执法证件，允许当事人辩解陈述。执法人员应保守有关秘密。3、审查责任：审理案件调查报告，对案件违法事实、证据、调查取证程序、法律适用、处罚种类和幅度、当事人陈述和申辩理由等方面进行审查，提出处理意见（主要证据不足时，以适当的方式补充调查）。4、告知责任：作出行政处罚决定前，应制作《行政处罚告知书》送达当事人，告知违法事实及其享有的陈述、申辩等权利。符合听证规定的，制作并送达《行政处罚听证告知书》。5、决定责任：制作行政处罚决定书，载明行政处罚告知、当事人陈述申辩或者听证情况等内容。6、送达责任：行政处罚决定书按法律规定的方式送达当事人。7、执行责任：依照生效的行政处罚决定做出行政处罚。8、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1、没有法律和事实依据实施行政处罚的；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2、行政处罚显失公正的；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3、执法人员玩忽职守，对应当予以制止和处罚的违法行为不予制止、处罚，致使公民、法人或其他组织的合法权益遭受损害的；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4、不具备行政执法资格实施行政处罚的；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5、在制止以及查处违法案件中受阻，依照有关规定应当向本级人民政府或者上级农业农村主管部门报告而未报告的；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6、应当依法移送追究刑事责任，而未依法移送有权机关的；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7、擅自改变行政处罚种类、幅度的；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8、违反法定的行政处罚程序的；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9、符合听证条件、行政管理相对人要求听证，应予组织听证而不组织听证的；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10、在行政处罚过程中发生腐败行为的；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11、其他违反法律法规规章文件规定的行为。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75</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未执行账款分管制度或非出纳人员保管现金的处罚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《河北省村集体财务管理条例》（1996年6月21日河北省第八届人民代表大会第二十一次会议通过）第三十九条第9项，对责任人员处以一百元至二千元罚款。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1、立案责任：发现未执行账款分管制度或非出纳人员保管现金，予以审查，决定是否立案。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76</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白条收款或无收据收款的罚款的处罚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《河北省村集体财务管理条例》（1996年6月21日河北省第八届人民代表大会第二十一次会议通过）第三十九条第二项。对责任人员处以一百元至二千元罚款。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1、立案责任：发现白条收款或无收据收款的情形，予以审查，决定是否立案。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行政农业主管部门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77</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未按规定批准开支的罚款的处罚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《河北省村集体财务管理条例》（1996年6月21日河北省第八届人民代表大会第二十一次会议通过）第三十九条第10项。对责任人员处以一百元至二千元罚款。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1、立案责任：发现未按规定批准开支的情形，予以审查，决定是否立案。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78</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未建立会计账簿的处罚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《河北省村集体财务管理条例》（1996年6月21日河北省第八届人民代表大会第二十一次会议通过）第三十九条第9项。对责任人员处以一百元至二千元罚款。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1、立案责任：发现未建立会计账簿的情形，予以审查，决定是否立案。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79</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未按规定公开财务收支账目的处罚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《河北省村集体财务管理条例》（1996年6月21日河北省第八届人民代表大会第二十一次会议通过）第三十九条第三项。对责任人员处以一百元至二千元罚款。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1、立案责任：发现未建立会计账簿的情形，予以审查，决定是否立案。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80</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公款私存的处罚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《河北省村集体财务管理条例》（1996年6月21日河北省第八届人民代表大会第二十一次会议通过）第四十条。对责任人员处以违法金额百分之十至百分之三十的罚款。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1、立案责任：发现公款私存的情形，予以审查，决定是否立案。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81</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坐支现金的处罚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《河北省村集体财务管理条例》（1996年6月21日河北省第八届人民代表大会第二十一次会议通过）第四十条。对责任人员处以违法金额百分之十至百分之三十的罚款。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1、立案责任：发现坐支现金的情形，予以审查，决定是否立案。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82</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白条下账的处罚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《河北省村集体财务管理条例》（1996年6月21日河北省第八届人民代表大会第二十一次会议通过）第四十条。对责任人员处以违法金额百分之十至百分之三十的罚款。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1、立案责任：发现白条下账的情形，予以审查，决定是否立案。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83</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弄虚作假开支的处罚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《河北省村集体财务管理条例》（1996年6月21日河北省第八届人民代表大会第二十一次会议通过）第四十条。对责任人员处以违法金额百分之十至百分之三十的罚款。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1、立案责任：发现弄虚作假开支的的情形，予以审查，决定是否立案。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84</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违反规定处置、发包集体资产资源的处罚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农村集体资产管理条例》（1998年12月26日河北省第九届人民代表大会第六次会议通过）《河北省农村集体资产管理条例》第三十条。（1）责令限期纠正；（2）造成经济损失的主要责任人员应当依法赔偿；（3）给予主要责任人员上年报酬百分之十至百分之二十的罚款（构成犯罪的，依法追究刑事责任）。</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1、立案责任：发现白条下账的情形，予以审查，决定是否立案。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85</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挪用的处罚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《河北省农村集体资产管理条例》（1998年12月26日河北省第九届人民代表大会第六次会议通过）第二十七条。处以造成损失额百分之十至百分之二十的罚款；构成犯罪的，依法追究刑事责任。</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1、立案责任：发现挪用的情形，予以审查，决定是否立案。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86</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挥霍浪费公款、公物的处罚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《河北省农村集体资产管理条例》（1998年12月26日河北省第九届人民代表大会第六次会议通过）第二十七条。处以造成损失额百分之十至百分之二十的罚款；构成犯罪的，依法追究刑事责任。</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1、立案责任：挥霍浪费公款、公物的情形，予以审查，决定是否立案。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87</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担保、抵押的处罚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四十二条。（1）责令限期纠正；（2）造成损失的由责任人予以赔偿；（3）处以担保、抵押总额百分之十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1、立案责任：发现白条下账的情形，予以审查，决定是否立案。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88</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设小金库（账外账）的处罚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《河北省村集体财务管理条例》（1996年6月21日河北省第八届人民代表大会第二十一次会议通过）第二十九条。（1）责令限期纠正；（2）对当事人处以违法金额百分之十至百分之三十的罚款。。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1、立案责任：设小金库（账外账）的情形，予以审查，决定是否立案。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89</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擅自无偿核销集体财产的处罚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村集体财务管理条例》（1996年6月21日河北省第八届人民代表大会第二十一次会议通过）第三十九条第五项。（1）责令限期纠正；（2）造成损失的应予赔偿；（3）对责任人员处以一百元至二千元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1、立案责任：擅自无偿核销集体财产的情形，予以审查，决定是否立案。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90</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违反规定处置、发包集体资产资源的处罚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农村集体资产管理条例》（1998年12月26日河北省第九届人民代表大会第六次会议通过）第三十条。（1）责令限期纠正；（2）造成经济损失的主要责任人员应当依法赔偿；（3）给予主要责任人员上年报酬百分之十至百分之二十的罚款（构成犯罪的，依法追究刑事责任）。</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1、立案责任：违反规定处置、发包集体资产资源的情形，予以审查，决定是否立案。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91</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行政处罚</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不配合农村审计工作的处罚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河北省农村集体经济审计规定》。（经2010年9月28日省政府第69次常务会议通过，由河北省人民政府[2010]第6号令公布，自2010年12月1日起实行。）第二十四条。（1）责令限期纠正；（2）拒不改正的，处以一百元以上一千元一下的罚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1、立案责任：不配合农村审计工作，决定是否立案。</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调查责任：农村经济管理局对立案的案件，指定专人负责，及时组织调查取证，与当事人有直接利害关系的应当回避。执法人员不得少于两人，调查时应出示执法证件，允许当事人辩解陈述。执法人员应保守有关秘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3、审查责任：审理案件调查报告，对案件违法事实、证据、调查取证程序、法律适用、处罚种类和幅度、当事人陈述和申辩理由等方面进行审查，提出处理意见（主要证据不足时，以适当的方式补充调查）。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4、告知责任：作出行政处罚决定前，应制作《行政处罚告知书》送达当事人，告知违法事实及其享有的陈述、申辩等权利。符合听证规定的，制作并送达《行政处罚听证告知书》。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5、决定责任：制作行政处罚决定书，载明行政处罚告知、当事人陈述申辩或者听证情况等内容。</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6、送达责任：行政处罚决定书按法律规定的方式送达当事人。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依据《中华人民共和国行政处罚法》第七章第五十五条 行政机关实施行政处罚，有下列情形之一的，由上级行政机关或者有关部门责令改正，可以对直接负责的主管人员和其他直接责任人员依法给予行政处分第五十六条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第五十九条 行政机关使用或者损毁扣押的财物，对当事人造成损失的，应当依法予以赔偿，对直接负责的主管人员和其他直接责任人员依法给予行政处分。第六十条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比照刑法第一百八十八条的规定追究刑事责任。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98" w:type="dxa"/>
          <w:trHeight w:val="5944" w:hRule="atLeast"/>
        </w:trPr>
        <w:tc>
          <w:tcPr>
            <w:tcW w:w="690"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9</w:t>
            </w:r>
            <w:r>
              <w:rPr>
                <w:rFonts w:hint="eastAsia" w:ascii="宋体" w:hAnsi="宋体" w:eastAsia="宋体"/>
                <w:sz w:val="15"/>
                <w:szCs w:val="15"/>
                <w:lang w:val="en-US" w:eastAsia="zh-CN"/>
              </w:rPr>
              <w:t>2</w:t>
            </w:r>
          </w:p>
        </w:tc>
        <w:tc>
          <w:tcPr>
            <w:tcW w:w="1247"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行政检查</w:t>
            </w:r>
          </w:p>
        </w:tc>
        <w:tc>
          <w:tcPr>
            <w:tcW w:w="1247"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对养殖、屠宰、兽药饲料生产经营、动物诊疗等场所进行监督检查</w:t>
            </w:r>
          </w:p>
        </w:tc>
        <w:tc>
          <w:tcPr>
            <w:tcW w:w="1247"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丰宁满族自治县农业农村局</w:t>
            </w:r>
          </w:p>
        </w:tc>
        <w:tc>
          <w:tcPr>
            <w:tcW w:w="3474"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《动物防疫法》第五十八条　动物卫生监督机构依照本法规定，对动物饲养、屠宰、经营、隔离、运输以及动物产品生产、经营、加工、贮藏、运输等活动中的动物防疫实施监督管理。《兽药监督管理》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第四十四条 县级以上人民政府兽医行政管理部门行使兽药监督管理权。《饲料和饲料添加剂管理条例》第三条　国务院农业行政主管部门负责全国饲料、饲料添加剂的监督管理工作。县级以上地方人民政府负责饲料、饲料添加剂管理的部门（以下简称饲料管理部门），负责本行政区域饲料、饲料添加剂的监督管理工作。《生猪屠宰管理条例》第三条 国务院商务主管部门负责全国生猪屠宰的行业管理工作。县级以上地方人民政府商务主管部门负责本行政区域内生猪屠宰活动的监督管理。《动物诊疗管理办法》第三条 农业部负责全国动物诊疗机构的监督管理。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县级以上地方人民政府兽医主管部门负责本行政区域内动物诊疗机构的管理。</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县级以上地方人民政府设立的动物卫生监督机构负责本行政区域内动物诊疗机构的监督执法工作。</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2693"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1.检查责任：对本辖区内养殖、屠宰、兽药饲料生产经营、动物诊疗等场所及其工作情况组织监督检查；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2.处置责任：对监督检查发现的问题，责令限期整改、依法实施处罚、依法撤消资质认证证书；</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3.移送责任：及时予以公告，对构成违法犯罪的移交司法机关；</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4.事后管理责任：对监督检查发现的问题，整改完成后，对整改情况组织进行核查；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5.其他责任：法律法规规章等规定应履行的责任。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2693"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br w:type="textWrapping"/>
            </w:r>
            <w:r>
              <w:rPr>
                <w:rFonts w:hint="eastAsia" w:ascii="宋体" w:hAnsi="宋体" w:eastAsia="宋体"/>
                <w:sz w:val="15"/>
                <w:szCs w:val="15"/>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1.不对本辖区内检验检测机构及其工作情况组织监督检查；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2.对在检查中发现的问题，不责令限期整改、不依法实施处罚；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3.不及时予以公告，对构成违法犯罪的不移交司法机关；</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4.对监督检查发现的问题，检验检测机构整改完成后，不对整改情况组织进行核查；</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5.其他违反法律法规规章文件规定的行为。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c>
          <w:tcPr>
            <w:tcW w:w="561" w:type="dxa"/>
            <w:gridSpan w:val="3"/>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93</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行政许可</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动物防疫条件合格证核发</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一）《中华人民共和国动物防疫法》（2007年修订，2015年修正）第二十条：兴办动物饲养场（养殖小区）和隔离场所，动物屠宰加工场所，以及动物和动物产品无害化处理场所，应当向县级以上地方人民政府兽医主管部门提出申请，并附具相关材料。受理申请的兽医主管部门应当依照本法和《中华人民共和国行政许可法》的规定进行审查。经审查合格的，发给动物防疫条件合格证；不合格的，应当通知申请人并说明理由。（二）《动物防疫条件审查办法》（2010年农业部令2010年第7号）第二条：动物饲养场、养殖小区、动物隔离场所、动物屠宰加工场所以及动物和动物产品无害化处理场所，应当符合本办法规定的动物防疫条件，并取得《动物防疫条件合格证》。（三）《动物防疫条件审查办法》（2010年农业部令2010年第7号）第三条：农业部主管全国动物防疫条件审查和监督管理工作。县级以上地方人民政府兽医主管部门主管本行政区域内的动物防疫条件审查和监督管理工作。（四）《动物防疫条件审查办法》（2010年农业部令2010年第7号）第三十一条：本办法第二条第一款所列场所在取得《动物防疫条件合格证》后，变更场址或者经营范围的，应当重新申请办理《动物防疫条件合格证》，同时交回原《动物防疫条件合格证》，由原发证机关予以注销。变更单位名称或者其负责人的，应当在变更后15日内持有效证明申请变更《动物防疫条件合格证》。</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受理责任：公示应当提交的材料，一次性告知补正材料，依法受理或不予受理（不予受理应当告知理由）。2、审查责任：按照法律法规对书面申请材料进行审查和实地考查3、决定责任；作出行政许可或者不予行政许可决定，法定告知（不予许可的应当书面告知理由）。5、事后监管责任：建立实施监督检查的运行机制和管理制度，开展定期和不定期检查，依法采取相关处置措施。6、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1、对不符合法定条件的申请人准予行政许可或者超越法定职权作出准予行政许可决定的；2、对符合法定条件的申请人不予行政许可或者不在法定期限内作出准予行政许可决定的；3、工作中玩忽职守、滥用职权的；4、畜牧兽医行政主管部门和其他有关部门的工作人员存在违法犯罪行为的。</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94</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行政许可</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动物及动物产品检疫合格证核发</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rPr>
              <w:t>丰宁县农业农村局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中华人民共和国动物防疫法》（1997年7月3日主席令第八十七号，2015年4月24日予以修改）第八条：县级以上地方人民政府设立的动物卫生监督机构依照本法规定，负责动物、动物产品的检疫工作和其他有关动物防疫的监督管理执法工作。第四十一条：动物卫生监督机构依照本法和国务院兽医主管部门的规定对动物、动物产品实施检疫。第四十二条　屠宰、出售或者运输动物以及出售或者运输动物产品前，货主应当按照国务院兽医主管部门的规定向当地动物卫生监督机构申报检疫。动物卫生监督机构接到检疫申报后，应当及时指派官方兽医对动物、动物产品实施现场检疫；检疫合格的，出具检疫证明、加施检疫标志。实施现场检疫的官方兽医应当在检疫证明、检疫标志上签字或者盖章，并对检疫结论负责。第四十三条　屠宰、经营、运输以及参加展览、演出和比赛的动物，应当附有检疫证明；经营和运输的动物产品，应当附有检疫证明、检疫标志。对前款规定的动物、动物产品，动物卫生监督机构可以查验检疫证明、检疫标志，进行监督抽查，但不得重复检疫收费。第四十四条　经铁路、公路、水路、航空运输动物和动物产品的，托运人托运时应当提供检疫证明；没有检疫证明的，承运人不得承运。运载工具在装载前和卸载后应当及时清洗、消毒。第四十五条　输入到无规定动物疫病区的动物、动物产品，货主应当按照国务院兽医主管部门的规定向无规定动物疫病区所在地动物卫生监督机构申报检疫，经检疫合格的，方可进入；检疫所需费用纳入无规定动物疫病区所在地地方人民政府财政预算。第四十六条　跨省、自治区、直辖市引进乳用动物、种用动物及其精液、胚胎、种蛋的，应当向输入地省、自治区、直辖市动物卫生监督机构申请办理审批手续，并依照本法第四十二条的规定取得检疫证明。跨省、自治区、直辖市引进的乳用动物、种用动物到达输入地后，货主应当按照国务院兽医主管部门的规定对引进的乳用动物、种用动物进行隔离观察。第四十七条　人工捕获的可能传播动物疫病的野生动物，应当报经捕获地动物卫生监督机构检疫，经检疫合格的，方可饲养、经营和运输。第四十八条　经检疫不合格的动物、动物产品，货主应当在动物卫生监督机构监督下按照国务院兽医主管部门的规定处理，处理费用由货主承担。</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1、受理责任：公示应当提交的材料，一次性告知补正材料，依法受理或不予受理（不予受理应当告知理由）。2、审查责任：按照法律法规对书面申请材料进行审查和实地考查3、决定责任；作出行政许可或者不予行政许可决定，法定告知（不予许可的应当书面告知理由）。5、事后监管责任：建立实施监督检查的运行机制和管理制度，开展定期和不定期检查，依法采取相关处置措施。6、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因不履行或不正确履行行政职责，有下列情形的，行政机关及相关工作人员应承担相应责任：1、对不符合法定条件的申请人准予行政许可或者超越法定职权作出准予行政许可决定的；2、对符合法定条件的申请人不予行政许可或者不在法定期限内作出准予行政许可决定的；3、工作中玩忽职守、滥用职权的；4、畜牧兽医行政主管部门和其他有关部门的工作人员存在违法犯罪行为的。</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95</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行政许可</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农药经营许可证核发</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 xml:space="preserve">《农药管理条例》第二十四条国家实行农药经营许可制度，但经营卫生用农药的除外。农药经营者应当具备下列条件，并按照国务院农业主管部门的规定向县级以上地方人民政府农业主管部门申请农药经营许可证。 </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（一） 受理，受理申请人提出的行政许可申请，①按照受理条件和标准查验申请材料;②对符合受理标准的，填写《行政许可事项接收申请材料凭证》、《统一受理行政许可申请登记》，进行受理登记，转入初审程序;③对申报材料不全或手续不完善的，必须及时将需要补充材料、补办手续等全部内容、要求一次性告知申请人;对不符合受理条件的，不予受理，及时告知理由。（二）初审，对申请人提供的证明文件的真实性、有效性、合法性、完整性、合法性进行审查。工作时限为3个工作日。对复审不合格者，应在2个工作日内，将申请材料交受理人员退回申请人。工作时限为2个工作日。（三）决定，同意复审意见的，在《农药许可审查表》上签署意见，办理审批手续;不同意复审意见的，提出退件意见。工作时限为5个工作日。（四）送达与告知，1、以行政许可决定文书形式通知、送达申请人，并通过计算机网络或在办公场所公开等形式公示办事结果。2、对不予行政许可的，必须将理由及申请人的相关权利、投诉渠道等书面告知申请人，将申请材料退申请人。3、将许可过程中形成的文书材料全部移交承办人员。</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县级以上农业部门及其工作人员有下列行为之一的，责令改正，对负有责任的领导人员和直接责任人员调查处理，依法给予处分，构成犯罪的，依法追究刑事责任。（一）不履行农药经营监督管理职责，所辖行政区域的违法农药经营活动造成重大损失或者恶劣社会影响。（二）对不符合条件的申请人准予经营许可或者对符合条件的申请人拒不准予经营许可。（三）参与农药生产经、营活动。（四）有其他徇私舞弊、滥用职权、玩忽职守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96</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行政许可</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农业植物及其产品调运检疫及植物检疫证书签发</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植物检疫条例》1983年1月3日国务院发布；根据1992年5月13日《国务院关于修改〈植物检疫条例〉的决定》第一次修订；根据2017年10月7日《国务院关于修改部分行政法规的决定》（国务院令第687号）第二次修订）第三条：县级以上地方各级农业主管部门、林业主管部门所属的植物检疫机构，负责执行国家的植物检疫任务。第七条　调运植物和植物产品，属于下列情况的，必须经过检疫：</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（一）列入应施检疫的植物、植物产品名单的，运出发生疫情的县级行政区域之前，必须经过检疫；</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（二）凡种子、苗木和其他繁殖材料，不论是否列入应施检疫的植物、植物产品名单和运往何地，在调运之前，都必须经过检疫。</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第八条　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受理责任：公示应当提交的材料，一次性告知补正材料，依法受理或不予受理（不予受理应当告知理由）。2、审查责任：按照法律法规对书面申请材料进行审查和实地考查3、决定责任；作出行政许可或者不予行政许可决定，法定告知（不予许可的应当书面告知理由）。5、事后监管责任：建立实施监督检查的运行机制和管理制度，开展定期和不定期检查，依法采取相关处置措施。6、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有下列情形的，责令改正，对直接负责的主管人员和其他直接责任人依法给予行政处分；构成犯罪的，依法移送司法机关追究刑事责任：（一）未按核发权限发放种子生产经营许可证的；（二）擅自降低核发标准发放种子生产经营许可证的；（三）其他未依法核发种子生产经营许可证的。</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97</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行政许可</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农业植物及其产品</w:t>
            </w:r>
            <w:r>
              <w:rPr>
                <w:rFonts w:hint="eastAsia" w:ascii="宋体" w:hAnsi="宋体" w:eastAsia="宋体"/>
                <w:sz w:val="15"/>
                <w:szCs w:val="15"/>
                <w:lang w:val="en-US" w:eastAsia="zh-CN"/>
              </w:rPr>
              <w:t>产地</w:t>
            </w:r>
            <w:r>
              <w:rPr>
                <w:rFonts w:hint="eastAsia" w:ascii="宋体" w:hAnsi="宋体" w:eastAsia="宋体"/>
                <w:sz w:val="15"/>
                <w:szCs w:val="15"/>
              </w:rPr>
              <w:t>检疫</w:t>
            </w:r>
            <w:r>
              <w:rPr>
                <w:rFonts w:hint="eastAsia" w:ascii="宋体" w:hAnsi="宋体" w:eastAsia="宋体"/>
                <w:sz w:val="15"/>
                <w:szCs w:val="15"/>
                <w:lang w:val="en-US" w:eastAsia="zh-CN"/>
              </w:rPr>
              <w:t>合格</w:t>
            </w:r>
            <w:r>
              <w:rPr>
                <w:rFonts w:hint="eastAsia" w:ascii="宋体" w:hAnsi="宋体" w:eastAsia="宋体"/>
                <w:sz w:val="15"/>
                <w:szCs w:val="15"/>
              </w:rPr>
              <w:t>证签发</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中华人民共和国动物防疫法》（1997年7月3日主席令第八十七号，2015年4月24日予以修改）第八条：县级以上地方人民政府设立的动物卫生监督机构依照本法规定，负责动物、动物产品的检疫工作和其他有关动物防疫的监督管理执法工作。第四十一条：动物卫生监督机构依照本法和国务院兽医主管部门的规定对动物、动物产品实施检疫。</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受理责任：公示应当提交的材料，一次性告知补正材料，依法受理或不予受理（不予受理应当告知理由）。2、审查责任：按照法律法规对书面申请材料进行审查和实地考查3、决定责任；作出行政许可或者不予行政许可决定，法定告知（不予许可的应当书面告知理由）。5、事后监管责任：建立实施监督检查的运行机制和管理制度，开展定期和不定期检查，依法采取相关处置措施。6、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有下列情形的，责令改正，对直接负责的主管人员和其他直接责任人依法给予行政处分；构成犯罪的，依法移送司法机关追究刑事责任：（一）未按核发权限发放种子生产经营许可证的；（二）擅自降低核发标准发放种子生产经营许可证的；（三）其他未依法核发种子生产经营许可证的。</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98</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行政许可</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拖拉机驾驶培训许可证</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《道路交通安全法》、《河北省农业机械管理条例》、《拖拉机驾驶培训管理办法》</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行政许可内容：按照《河北省拖拉机驾驶培训管理细则》规定受理申请人提交的材料并进行书面审查和现场评审，具备资质的颁发农业部统一制作的《中华人民共和国拖拉机驾驶培训许可证》。</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行政监管内容：1、办理拖拉机驾驶培训机构名称、法定代表人或者教学场所的变更。2、根据《拖拉机驾驶培训管理办法》的有关规定，注销拖拉机驾驶培训学校、培训班资格。3、组织辖区内拖拉机驾驶培训机构于每年12月10日前，填写《拖拉机驾驶培训机构情况表》，报省农机修造服务总站备案。4、按照《河北省拖拉机驾驶培训教学人员资格考核管理办法》对属地拖拉机驾驶培训教学从业人员进行管理。</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一）县级人民政府农机主管部门应当加强对本行政区域内的拖拉机驾驶培训机构的日常管理，设区市、省级农机主管部门应当加强对本行政区域内的拖拉机驾驶培训机构的监督检查，发现有违反农业部《拖拉机驾驶培训管理办法》规定行为的，应当依照职权调查处理。需由上级人民政府农机主管部门处理的，应当及时报请决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rPr>
            </w:pPr>
            <w:r>
              <w:rPr>
                <w:rFonts w:hint="eastAsia" w:ascii="宋体" w:hAnsi="宋体" w:eastAsia="宋体"/>
                <w:sz w:val="15"/>
                <w:szCs w:val="15"/>
              </w:rPr>
              <w:t>（二）对违反农业部《拖拉机驾驶培训管理办法》规定的培训机构，由县级以上人民政府农机主管部门按照农业部《拖拉机驾驶培训管理办法》的有关规定予以处罚。</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rPr>
              <w:t>（三）农机主管部门工作人员在拖拉机驾驶培训管理工作中，以权谋私，违法乱纪的，依法给予行政处分，构成犯罪的，由司法机关依法追究刑事责任。</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2" w:type="dxa"/>
          <w:trHeight w:val="3564"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99</w:t>
            </w:r>
          </w:p>
        </w:tc>
        <w:tc>
          <w:tcPr>
            <w:tcW w:w="464"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行政强制</w:t>
            </w:r>
          </w:p>
        </w:tc>
        <w:tc>
          <w:tcPr>
            <w:tcW w:w="23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对动物、动物产品按照规定采样、留验、抽检；对染疫或者疑似染疫的动物、动物产品及相关物品进行隔离、查封、扣押和处理；对依法应当检疫而未经检疫的动物实施补检；对依法应当检疫而未经检疫的动物产品，具备补检条件的实施补检，不具备补检条件的予以没收销毁</w:t>
            </w:r>
          </w:p>
        </w:tc>
        <w:tc>
          <w:tcPr>
            <w:tcW w:w="54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丰宁县农业农村局</w:t>
            </w:r>
          </w:p>
        </w:tc>
        <w:tc>
          <w:tcPr>
            <w:tcW w:w="28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第五十九条　动物卫生监督机构执行监督检查任务，可以采取下列措施，有关单位和个人不得拒绝或者阻碍：(一）对动物、动物产品按照规定采样、留验、抽检；(二）对染疫或者疑似染疫的动物、动物产品及相关物品进行隔离、查封、扣押和处理(三)对依法应当检疫而未经检疫的动物实施补检；(四）对依法应当检疫而未经检疫的动物产品，具备补检条件的实施补检，不具备补检条件的予以没收销毁(五）查验检疫证明、检疫标志和畜禽标识；(六）进入有关场所调查取证，查阅、复制与动物防疫有关的资料。</w:t>
            </w:r>
          </w:p>
        </w:tc>
        <w:tc>
          <w:tcPr>
            <w:tcW w:w="396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调查责任：调查取证时，案件承办人员不得少于两人，应向当事人或者有关人员出示行政执法证件并记录在案。现场检查情况应如实记入现场检查笔录，由当事人签署意见并签名或盖单。允许当事人陈述申辩，并将当事人的陈述申辩理由记录在案。</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2.审查责任：案件承办机构对负责办案人员提出的采取（解除）行政措施种类、理由及法律依据进行审查，特别关注采取行政强制措施的必要性。</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3.决定责任：经农业农村部门负责人批准实施行政强制措施。当场告知当事人采取行政强制措施的理由、依据及当事人依法享有的权利、救济途径。</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4、执行责任：制作并送达查封、扣押决定书和清单。妥善保管查封、扣押的场所、设施或财务。</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c>
          <w:tcPr>
            <w:tcW w:w="2700"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因不履行或不正确履行行政职责，有下列情形的，行政机关及相关工作人员应承担相应责任：1、对不符合条件的实施行政强制的；2、因违法实施行政强制，给行政相对人造成损失的；3、违反法定权限、程序实施行政强制的；4、在工作中玩忽职守、滥用职权的；5、在行使行政强制权过程中发生腐败行为的；6、其他违反法律法规规章文件规定的行为。</w:t>
            </w:r>
          </w:p>
        </w:tc>
        <w:tc>
          <w:tcPr>
            <w:tcW w:w="4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2" w:type="dxa"/>
          <w:trHeight w:val="3564"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100</w:t>
            </w:r>
          </w:p>
        </w:tc>
        <w:tc>
          <w:tcPr>
            <w:tcW w:w="464"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行政强制</w:t>
            </w:r>
          </w:p>
        </w:tc>
        <w:tc>
          <w:tcPr>
            <w:tcW w:w="23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对有证据证明可能是假劣兽药的，采取查封、扣押的行政强制措施</w:t>
            </w:r>
          </w:p>
        </w:tc>
        <w:tc>
          <w:tcPr>
            <w:tcW w:w="54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丰宁县农业农村局</w:t>
            </w:r>
          </w:p>
        </w:tc>
        <w:tc>
          <w:tcPr>
            <w:tcW w:w="28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兽药管理条例》第四十六条兽医行政管理部门依法进行监督检查时，对有证据证明可能是假、劣兽药的，应当采取查封、扣押的行政强制措施，并自采取行政强制措施之日起7个工作日内作出是否立案的决定;需要检验的，应当自检验报告书发出之日起15个工作日内作出是否立案的决定;不符合立案条件的，应当解除行政强制措施;需要暂停生产的，由国务院兽医行政管理部门或者省、自治区、直辖市人民政府兽医行政管理部门按照权限作出决定;需要暂停经营、使用的，由县级以上人民政府兽医行政管理部门按照权限作出决定。未经行政强制措施决定机关或者其上级机关批准，不得擅自转移、使用、销毁、销售被查封或者扣押的兽药及有关材料。</w:t>
            </w:r>
          </w:p>
        </w:tc>
        <w:tc>
          <w:tcPr>
            <w:tcW w:w="396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调查责任：调查取证时，案件承办人员不得少于两人，应向当事人或者有关人员出示行政执法证件并记录在案。现场检查情况应如实记入现场检查笔录，由当事人签署意见并签名或盖单。允许当事人陈述申辩，并将当事人的陈述申辩理由记录在案。</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2.审查责任：案件承办机构对负责办案人员提出的采取（解除）行政措施种类、理由及法律依据进行审查，特别关注采取行政强制措施的必要性。</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3.决定责任：经农业农村部门负责人批准实施行政强制措施。当场告知当事人采取行政强制措施的理由、依据及当事人依法享有的权利、救济途径。</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4、执行责任：制作并送达查封、扣押决定书和清单。妥善保管查封、扣押的场所、设施或财务。</w:t>
            </w:r>
          </w:p>
        </w:tc>
        <w:tc>
          <w:tcPr>
            <w:tcW w:w="2700"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1、对不符合条件的实施行政强制的；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2、因违法实施行政强制，给行政相对人造成损失的；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3、违反法定权限、程序实施行政强制的；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4、在工作中玩忽职守、滥用职权的；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5、在行使行政强制权过程中发生腐败行为的；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6、其他违反法律法规规章文件规定的行为。</w:t>
            </w:r>
          </w:p>
        </w:tc>
        <w:tc>
          <w:tcPr>
            <w:tcW w:w="4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2" w:type="dxa"/>
          <w:trHeight w:val="3564"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101</w:t>
            </w:r>
          </w:p>
        </w:tc>
        <w:tc>
          <w:tcPr>
            <w:tcW w:w="464"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行政强制</w:t>
            </w:r>
          </w:p>
        </w:tc>
        <w:tc>
          <w:tcPr>
            <w:tcW w:w="23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责令停止兽药研究试验、生产、经营活动</w:t>
            </w:r>
          </w:p>
        </w:tc>
        <w:tc>
          <w:tcPr>
            <w:tcW w:w="54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丰宁县农业农村局</w:t>
            </w:r>
          </w:p>
        </w:tc>
        <w:tc>
          <w:tcPr>
            <w:tcW w:w="28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《兽药管理条例》第五十九条第一款 违反本条例规定，兽药安全性评价单位、临床试验单位、生产和经营企业未按照规定实施兽药研究试验、生产、经营质量管理规范的，给予警告，责令其限期改正;逾期不改正的，责令停止兽药研究试验、生产、经营活动，并处5万元以下罚款;情节严重的，吊销兽药生产许可证、兽药经营许可证;给他人造成损失的，依法承担赔偿责任。</w:t>
            </w:r>
          </w:p>
        </w:tc>
        <w:tc>
          <w:tcPr>
            <w:tcW w:w="396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调查责任：调查取证时，案件承办人员不得少于两人，应向当事人或者有关人员出示行政执法证件并记录在案。现场检查情况应如实记入现场检查笔录，由当事人签署意见并签名或盖单。允许当事人陈述申辩，并将当事人的陈述申辩理由记录在案。</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2.审查责任：案件承办机构对负责办案人员提出的采取（解除）行政措施种类、理由及法律依据进行审查，特别关注采取行政强制措施的必要性。</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3.决定责任：经农业农村部门负责人批准实施行政强制措施。当场告知当事人采取行政强制措施的理由、依据及当事人依法享有的权利、救济途径。</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4、执行责任：制作并送达查封、扣押决定书和清单。妥善保管查封、扣押的场所、设施或财务。</w:t>
            </w:r>
          </w:p>
        </w:tc>
        <w:tc>
          <w:tcPr>
            <w:tcW w:w="2700"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1、对不符合条件的实施行政强制的；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2、因违法实施行政强制，给行政相对人造成损失的；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3、违反法定权限、程序实施行政强制的；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4、在工作中玩忽职守、滥用职权的；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5、在行使行政强制权过程中发生腐败行为的；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6、其他违反法律法规规章文件规定的行为。</w:t>
            </w:r>
          </w:p>
        </w:tc>
        <w:tc>
          <w:tcPr>
            <w:tcW w:w="4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2" w:type="dxa"/>
          <w:trHeight w:val="3564"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102</w:t>
            </w:r>
          </w:p>
        </w:tc>
        <w:tc>
          <w:tcPr>
            <w:tcW w:w="464"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行政强制</w:t>
            </w:r>
          </w:p>
        </w:tc>
        <w:tc>
          <w:tcPr>
            <w:tcW w:w="23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责令停止研制新兽药实验</w:t>
            </w:r>
          </w:p>
        </w:tc>
        <w:tc>
          <w:tcPr>
            <w:tcW w:w="54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丰宁县农业农村局</w:t>
            </w:r>
          </w:p>
        </w:tc>
        <w:tc>
          <w:tcPr>
            <w:tcW w:w="28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兽药管理条例》第五十九条第二款违反本条例规定，研制新兽药不具备规定的条件擅自使用一类病原微生物或者在实验室阶段前未经批准的，责令其停止实验，并处5万元以上10万元以下罚款;构成犯罪的，依法追究刑事责任;给他人造成损失的，依法承担赔偿责任。</w:t>
            </w:r>
          </w:p>
        </w:tc>
        <w:tc>
          <w:tcPr>
            <w:tcW w:w="396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调查责任：调查取证时，案件承办人员不得少于两人，应向当事人或者有关人员出示行政执法证件并记录在案。现场检查情况应如实记入现场检查笔录，由当事人签署意见并签名或盖单。允许当事人陈述申辩，并将当事人的陈述申辩理由记录在案。</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2.审查责任：案件承办机构对负责办案人员提出的采取（解除）行政措施种类、理由及法律依据进行审查，特别关注采取行政强制措施的必要性。</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3.决定责任：经农业农村部门负责人批准实施行政强制措施。当场告知当事人采取行政强制措施的理由、依据及当事人依法享有的权利、救济途径。</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4、执行责任：制作并送达查封、扣押决定书和清单。妥善保管查封、扣押的场所、设施或财务。</w:t>
            </w:r>
          </w:p>
        </w:tc>
        <w:tc>
          <w:tcPr>
            <w:tcW w:w="2700"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1、对不符合条件的实施行政强制的；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2、因违法实施行政强制，给行政相对人造成损失的；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3、违反法定权限、程序实施行政强制的；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4、在工作中玩忽职守、滥用职权的；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5、在行使行政强制权过程中发生腐败行为的；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6、其他违反法律法规规章文件规定的行为。</w:t>
            </w:r>
          </w:p>
        </w:tc>
        <w:tc>
          <w:tcPr>
            <w:tcW w:w="4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2" w:type="dxa"/>
          <w:trHeight w:val="3564"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103</w:t>
            </w:r>
          </w:p>
        </w:tc>
        <w:tc>
          <w:tcPr>
            <w:tcW w:w="464"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行政强制</w:t>
            </w:r>
          </w:p>
        </w:tc>
        <w:tc>
          <w:tcPr>
            <w:tcW w:w="23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责令对饲喂了违禁药物及其他化合物的动物及其产品进行无害化处理</w:t>
            </w:r>
          </w:p>
        </w:tc>
        <w:tc>
          <w:tcPr>
            <w:tcW w:w="54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丰宁县农业农村局</w:t>
            </w:r>
          </w:p>
        </w:tc>
        <w:tc>
          <w:tcPr>
            <w:tcW w:w="28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兽药管理条例》第六十二条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p>
        </w:tc>
        <w:tc>
          <w:tcPr>
            <w:tcW w:w="396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调查责任：调查取证时，案件承办人员不得少于两人，应向当事人或者有关人员出示行政执法证件并记录在案。现场检查情况应如实记入现场检查笔录，由当事人签署意见并签名或盖单。允许当事人陈述申辩，并将当事人的陈述申辩理由记录在案。</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2.审查责任：案件承办机构对负责办案人员提出的采取（解除）行政措施种类、理由及法律依据进行审查，特别关注采取行政强制措施的必要性。</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3.决定责任：经农业农村部门负责人批准实施行政强制措施。当场告知当事人采取行政强制措施的理由、依据及当事人依法享有的权利、救济途径。</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4、执行责任：制作并送达查封、扣押决定书和清单。妥善保管查封、扣押的场所、设施或财务。</w:t>
            </w:r>
          </w:p>
        </w:tc>
        <w:tc>
          <w:tcPr>
            <w:tcW w:w="2700"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1、对不符合条件的实施行政强制的；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2、因违法实施行政强制，给行政相对人造成损失的；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3、违反法定权限、程序实施行政强制的；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4、在工作中玩忽职守、滥用职权的；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5、在行使行政强制权过程中发生腐败行为的；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6、其他违反法律法规规章文件规定的行为。</w:t>
            </w:r>
          </w:p>
        </w:tc>
        <w:tc>
          <w:tcPr>
            <w:tcW w:w="4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2" w:type="dxa"/>
          <w:trHeight w:val="3564"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sz w:val="15"/>
                <w:szCs w:val="15"/>
                <w:lang w:val="en-US" w:eastAsia="zh-CN"/>
              </w:rPr>
            </w:pPr>
            <w:r>
              <w:rPr>
                <w:rFonts w:hint="eastAsia" w:ascii="宋体" w:hAnsi="宋体" w:eastAsia="宋体"/>
                <w:sz w:val="15"/>
                <w:szCs w:val="15"/>
                <w:lang w:val="en-US" w:eastAsia="zh-CN"/>
              </w:rPr>
              <w:t>104</w:t>
            </w:r>
          </w:p>
        </w:tc>
        <w:tc>
          <w:tcPr>
            <w:tcW w:w="464"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行政强制</w:t>
            </w:r>
          </w:p>
        </w:tc>
        <w:tc>
          <w:tcPr>
            <w:tcW w:w="23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责令对含有违禁药物和兽药残留超标的动物产品进行无害化处理</w:t>
            </w:r>
          </w:p>
        </w:tc>
        <w:tc>
          <w:tcPr>
            <w:tcW w:w="540"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丰宁县农业农村局</w:t>
            </w:r>
          </w:p>
        </w:tc>
        <w:tc>
          <w:tcPr>
            <w:tcW w:w="28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兽药管理条例》第六十三条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p>
        </w:tc>
        <w:tc>
          <w:tcPr>
            <w:tcW w:w="396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调查责任：调查取证时，案件承办人员不得少于两人，应向当事人或者有关人员出示行政执法证件并记录在案。现场检查情况应如实记入现场检查笔录，由当事人签署意见并签名或盖单。允许当事人陈述申辩，并将当事人的陈述申辩理由记录在案。</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2.审查责任：案件承办机构对负责办案人员提出的采取（解除）行政措施种类、理由及法律依据进行审查，特别关注采取行政强制措施的必要性。</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3.决定责任：经农业农村部门负责人批准实施行政强制措施。当场告知当事人采取行政强制措施的理由、依据及当事人依法享有的权利、救济途径。</w:t>
            </w:r>
            <w:r>
              <w:rPr>
                <w:rFonts w:hint="eastAsia" w:ascii="宋体" w:hAnsi="宋体" w:eastAsia="宋体"/>
                <w:sz w:val="15"/>
                <w:szCs w:val="15"/>
                <w:lang w:val="en-US" w:eastAsia="zh-CN"/>
              </w:rPr>
              <w:br w:type="textWrapping"/>
            </w:r>
            <w:r>
              <w:rPr>
                <w:rFonts w:hint="eastAsia" w:ascii="宋体" w:hAnsi="宋体" w:eastAsia="宋体"/>
                <w:sz w:val="15"/>
                <w:szCs w:val="15"/>
                <w:lang w:val="en-US" w:eastAsia="zh-CN"/>
              </w:rPr>
              <w:t>4、执行责任：制作并送达查封、扣押决定书和清单。妥善保管查封、扣押的场所、设施或财务。</w:t>
            </w:r>
          </w:p>
        </w:tc>
        <w:tc>
          <w:tcPr>
            <w:tcW w:w="2700"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因不履行或不正确履行行政职责，有下列情形的，行政机关及相关工作人员应承担相应责任：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1、对不符合条件的实施行政强制的；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2、因违法实施行政强制，给行政相对人造成损失的；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3、违反法定权限、程序实施行政强制的；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4、在工作中玩忽职守、滥用职权的；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5、在行使行政强制权过程中发生腐败行为的；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6、其他违反法律法规规章文件规定的行为。</w:t>
            </w:r>
          </w:p>
        </w:tc>
        <w:tc>
          <w:tcPr>
            <w:tcW w:w="480"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105</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sz w:val="15"/>
                <w:szCs w:val="15"/>
                <w:lang w:val="en-US" w:eastAsia="zh-CN"/>
              </w:rPr>
              <w:t>行政裁决</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农村土地承包经营纠纷仲裁</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农业农村局农村经济管理站</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《中华人民共和国农村土地承包法》（2002年8月29日第九届全国人民代表大会常务委员会第二十九次会议通过，2002年8月29日第73号主席令公布实施）</w:t>
            </w:r>
          </w:p>
        </w:tc>
        <w:tc>
          <w:tcPr>
            <w:tcW w:w="4050" w:type="dxa"/>
            <w:gridSpan w:val="4"/>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受理责任：农村土地承包经营纠纷包括：（一）因订立、履行、变更、解除和终止农村土地承包合同发生的纠纷；（二）因农村土地承包经营权转包、出租、互换、转让、入股等流转发生的纠纷；（三）因收回、调整承包地发生的纠纷；（四）因确认农村土地承包经营权发生的纠纷；（五）因侵害农村土地承包经营权发生的纠纷；（六）法律、法规规定的其他农村土地承包经营纠纷。因征收集体所有的土地及其补偿发生的纠纷，不属于农村土地承包仲裁委员会的受理范围，可以通过行政复议或者诉讼等方式解决。2仲裁委员会职责：(一)聘任、解聘仲裁员;(二)受理仲裁申请;(三)监督仲裁活动。3、开庭：农村土地承包经营纠纷仲裁应当开庭进行。开庭可以在纠纷涉及的土地所在地的乡(镇)或者村进行，也可以在农村土地承包仲裁委员会所在地进行。当事人双方要求在乡(镇)或者村开庭的，应当在该乡(镇)或者村开庭。开庭应当公开，但涉及国家秘密、商业秘密和个人隐私以及当事人约定不公开的除外。4、裁决：仲裁庭应当根据认定的事实和法律以及国家政策作出裁决并制作裁决书。裁决应当按照多数仲裁员的意见作出，少数仲裁员的不同意见可以记入笔录。仲裁庭不能形成多数意见时，裁决应当按照首席仲裁员的意见作出。</w:t>
            </w:r>
          </w:p>
        </w:tc>
        <w:tc>
          <w:tcPr>
            <w:tcW w:w="4345"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《仲裁案件错案责任追究制》第五条</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106</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sz w:val="15"/>
                <w:szCs w:val="15"/>
                <w:lang w:val="en-US" w:eastAsia="zh-CN"/>
              </w:rPr>
              <w:t>行政裁决</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农村土地承包经营纠纷仲裁</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农业农村局农业经济管理站</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《河北省农村土地承包条例》(2013年7月25日河北省第十二届人民代表大会常务委员会第三次会议通过)</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受理责任：农村土地承包经营纠纷包括：（一）因订立、履行、变更、解除和终止农村土地承包合同发生的纠纷；（二）因农村土地承包经营权转包、出租、互换、转让、入股等流转发生的纠纷；（三）因收回、调整承包地发生的纠纷；（四）因确认农村土地承包经营权发生的纠纷；（五）因侵害农村土地承包经营权发生的纠纷；（六）法律、法规规定的其他农村土地承包经营纠纷。因征收集体所有的土地及其补偿发生的纠纷，不属于农村土地承包仲裁委员会的受理范围，可以通过行政复议或者诉讼等方式解决。2仲裁委员会职责：(一)聘任、解聘仲裁员;(二)受理仲裁申请;(三)监督仲裁活动。3、开庭：农村土地承包经营纠纷仲裁应当开庭进行。开庭可以在纠纷涉及的土地所在地的乡(镇)或者村进行，也可以在农村土地承包仲裁委员会所在地进行。当事人双方要求在乡(镇)或者村开庭的，应当在该乡(镇)或者村开庭。开庭应当公开，但涉及国家秘密、商业秘密和个人隐私以及当事人约定不公开的除外。4、裁决：仲裁庭应当根据认定的事实和法律以及国家政策作出裁决并制作裁决书。裁决应当按照多数仲裁员的意见作出，少数仲裁员的不同意见可以记入笔录。仲裁庭不能形成多数意见时，裁决应当按照首席仲裁员的意见作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《仲裁案件错案责任追究制》第五条</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107</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sz w:val="15"/>
                <w:szCs w:val="15"/>
                <w:lang w:val="en-US" w:eastAsia="zh-CN"/>
              </w:rPr>
              <w:t>行政裁决</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农村土地承包经营纠纷仲裁</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农业农村局农村经济管理站</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《中华人民共和国农村土地承包法》（2009年6月27日第十一届全国人民代表大会常务委员会第九次会议通过，2010年1月1日第14号主席令公布实施）</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受理责任：农村土地承包经营纠纷包括：（一）因订立、履行、变更、解除和终止农村土地承包合同发生的纠纷；（二）因农村土地承包经营权转包、出租、互换、转让、入股等流转发生的纠纷；（三）因收回、调整承包地发生的纠纷；（四）因确认农村土地承包经营权发生的纠纷；（五）因侵害农村土地承包经营权发生的纠纷；（六）法律、法规规定的其他农村土地承包经营纠纷。因征收集体所有的土地及其补偿发生的纠纷，不属于农村土地承包仲裁委员会的受理范围，可以通过行政复议或者诉讼等方式解决。2仲裁委员会职责：(一)聘任、解聘仲裁员;(二)受理仲裁申请;(三)监督仲裁活动。3、开庭：农村土地承包经营纠纷仲裁应当开庭进行。开庭可以在纠纷涉及的土地所在地的乡(镇)或者村进行，也可以在农村土地承包仲裁委员会所在地进行。当事人双方要求在乡(镇)或者村开庭的，应当在该乡(镇)或者村开庭。开庭应当公开，但涉及国家秘密、商业秘密和个人隐私以及当事人约定不公开的除外。4、裁决：仲裁庭应当根据认定的事实和法律以及国家政策作出裁决并制作裁决书。裁决应当按照多数仲裁员的意见作出，少数仲裁员的不同意见可以记入笔录。仲裁庭不能形成多数意见时，裁决应当按照首席仲裁员的意见作出。</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《仲裁案件错案责任追究制》第五条</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108</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行政确认</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农作物种子质量纠纷田间现场鉴定</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《农作物种子质量纠纷田间现场鉴定办法》第三条现场鉴定由田间现场所在地县级以上地方人民政府农业行政主管部门所属的种子管理机构组织实施。</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受理责任：公示应当提交的材料，一次性告知补正材料，依法受理或不予受理（不予受理应当告知理由）。2、审查责任：按照法律法规对书面申请材料进行审查和实地考查3、决定责任；作出行政许可或者不予行政许可决定，法定告知（不予许可的应当书面告知理由）。5、事后监管责任：建立实施监督检查的运行机制和管理制度，开展定期和不定期检查，依法采取相关处置措施。6、其他法律法规规章文件规定应履行的责任。</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中国共产党纪律处分条例》第一百二十九条“国家行政机关或者法律、法规授权的部门、单位工作人员，在履行经济调节、市场监管、社会管理和公共服务职责中失职、渎职，情节较轻的，给予警告或者严重警告处分；情节较重的，给予撤销党内职务或者留党察看处分；情节严重的，给予开除党籍处分。”2.同1。3.《中国共产党纪律处分条例》第一百二十七条“党和国家工作人员或者其他从事公务的人员，在工作中不履行或者不正确履行职责，给党、国家和人民利益以及公共财产造成较大损失的，给予警告或者严重警告处分；造成重大损失的，给予撤销党内职务、留党察看或者开除党籍处分。本条例另有规定的，依照规定。前款所列人员，在工作中滥用职权或者玩忽职守，给党、国家和人民利益以及公共财产造成较大损失的，给予严重警告处分；造成重大损失的，给予撤销党内职务、留党察看或者开除党籍处分。在工作中徇私舞弊的，从重或者加重处分。本条例另有规定的，依照规定。”4.《中国共产党纪律处分条例》第八十五条“党和国家工作人员或者其他从事公务的人员，利用职务上的便利，索取他人财物，或者非法收受他人财物为他人谋取利益，情节较轻的，给予警告或者严重警告处分；情节较重的，给予撤销党内职务或者留党察看处分；情节严重的，给予开除党籍处分。前款所列人员利用职务上的便利，变相非法收受他人财物为他人谋取利益，情节较重的，给予警告或者严重警告处分；情节严重的，给予撤销党内职务、留党察看或者开除党籍处分。因受贿给国家、集体和人民利益造成重大损失的，从重或者加重处分，直至开除党籍。 因索取财物未遂而刁难报复对方，给对方造成损失的，给予警告或者严重警告处分；情节较重的，给予撤销党内职务或者留党察看处分；情节严重的，给予开除党籍处分。”</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cs="Times New Roman"/>
                <w:kern w:val="2"/>
                <w:sz w:val="15"/>
                <w:szCs w:val="15"/>
                <w:lang w:val="en-US" w:eastAsia="zh-CN" w:bidi="ar-SA"/>
              </w:rPr>
              <w:t>109</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其它权力事项</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农药经营主体准入审查</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《中华人民共和国行政许可法》第二条、《农药管理条例》第二十四条</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农药经营者营业执照的审查；2、农药经营者合法资格及合法身份审查；3、农药经营许可申请材料进行审查；4、农药经营者门店、仓库设施、设备防护进行核查；5、对是否有农药和病虫害防治专业知识，熟悉农药管理规定，能够指导安全合理使用农药的经营人员审查；6、对是否有与其他商品以及饮用水源、生活区域等有效隔离的营业场所和仓储场所的审查；7、对经营者台账记录、应急处置及相关制度审查；8、对农药经营许可证、禁限农药的审查。</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药经营主体准入审查，不履行行政职能，有下列情形的，审查机关及相关人员应承当相应责任；1、对不符合条件的申请人准予许可或者符合条件的申请人拒不准予许可的；2、对不严格履行审查制度的；3、参与农药生产、经营活动的；4、在审查过程中，徇私舞弊、滥用职权、玩忽职守行为的。5、其他违反法律法规规章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110</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其它权力事项</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农药监督管理</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《农药管理条例》第三条第三款</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定期调查统计农药生产、销售、使用情况，并及时通报本级人民政府有关部门儿。建立农药生产、经营诚信档案并予以公布。2、依法采取下列措施监督检查（1）进入农药生产、经营、使用场所的实施现场检查；（2）对生产、经营、使用的农药实施抽查检测；（3）向有关人员调查了解相关情况；（4）查阅、复制合同、票据、账簿以及其他有关资料；（5）查封、扣押生产、经营、使用的农药，以及用于违法生产、经营、使用农药的工具、设备、原材料等；（6）查封违法生产、经营、使用农药的场所；3、农药生产者对应该召回的农药，主动召回产品。农药经营者发现应该召回的农药，立即停止使用，并向农业主管部门报告。4、组织农药检定工作机构、植物保护机构对已登记农药的安全性和有效性进行监测。5、假农药、劣质农药实施严格的监督检查。6、监督检查伪造、变造、转让、出租、出借农药登记证、农药生产、农药经营许可证等许可证明文件。</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因不履行或不正确履行行政职能，有下列情形的，监督机关及相关工作人员应承担相应责任；1、不履行监督管理职责，所辖行政区域的违法农药生产、经营活动造成重大损失或者恶劣社会影响；2、参与农药生产、经营活动；3、有其他徇私舞弊、滥用职权、玩忽职守行为；4、监督检查过程中，对企业、组织及个人应该下达法律文书的而未下达的；5、不严格履行法律程序实施监督检查的；6、其他违反法律法规规章文件规定的行为。</w:t>
            </w: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1" w:hRule="atLeast"/>
        </w:trPr>
        <w:tc>
          <w:tcPr>
            <w:tcW w:w="544"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default" w:ascii="宋体" w:hAnsi="宋体" w:eastAsia="宋体" w:cs="Times New Roman"/>
                <w:kern w:val="2"/>
                <w:sz w:val="15"/>
                <w:szCs w:val="15"/>
                <w:lang w:val="en-US" w:eastAsia="zh-CN" w:bidi="ar-SA"/>
              </w:rPr>
            </w:pPr>
            <w:r>
              <w:rPr>
                <w:rFonts w:hint="eastAsia" w:ascii="宋体" w:hAnsi="宋体" w:eastAsia="宋体"/>
                <w:sz w:val="15"/>
                <w:szCs w:val="15"/>
                <w:lang w:val="en-US" w:eastAsia="zh-CN"/>
              </w:rPr>
              <w:t>111</w:t>
            </w:r>
          </w:p>
        </w:tc>
        <w:tc>
          <w:tcPr>
            <w:tcW w:w="365" w:type="dxa"/>
            <w:gridSpan w:val="2"/>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其它权力事项</w:t>
            </w:r>
          </w:p>
        </w:tc>
        <w:tc>
          <w:tcPr>
            <w:tcW w:w="1052"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农作物种子质量监督检查</w:t>
            </w:r>
          </w:p>
        </w:tc>
        <w:tc>
          <w:tcPr>
            <w:tcW w:w="409" w:type="dxa"/>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丰宁满族自治县农业农村局</w:t>
            </w:r>
          </w:p>
        </w:tc>
        <w:tc>
          <w:tcPr>
            <w:tcW w:w="2840" w:type="dxa"/>
            <w:gridSpan w:val="5"/>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《《中华人民共和国种子法》第四十七条第一款、《河北省种子管理条例》第三十一条、三十二条、三十三条</w:t>
            </w:r>
          </w:p>
        </w:tc>
        <w:tc>
          <w:tcPr>
            <w:tcW w:w="392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1.确定检查主题;个人（自然人、农村承包责任户、个体工商户、个人合伙），单位（法人、其他组织）。</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2.规划检查程序；⑴确立检查对象，⑵出示检查证，⑶进行检查项目，⑷询问作现场笔录，⑸下达相关文书，⑹检查全程记录，⑺检查完毕。</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 xml:space="preserve"> 3.采取措施；⑴进入生产经营场所进行现场检查，⑵对种子进行取样测试，试验或者检验，⑶查阅，复制有关合同、票据、账薄、生产经营档案及其他有关资料，⑷查封，扣押有证据证明违法生产经营的种子，以及用于违法生产的工具，设备及运输工具等，⑸查封违法从事种子生产经营活动的场所，⑹查看种子标签是否符合相关法律法规规定，⑺种子检疫证明材料。</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r>
              <w:rPr>
                <w:rFonts w:hint="eastAsia" w:ascii="宋体" w:hAnsi="宋体" w:eastAsia="宋体"/>
                <w:sz w:val="15"/>
                <w:szCs w:val="15"/>
                <w:lang w:val="en-US" w:eastAsia="zh-CN"/>
              </w:rPr>
              <w:t xml:space="preserve"> 4.农业主管部门可以采用国家规定的快速检测方法对生产经营的种子品种进行检测，可以委托种子质量检验机构对种子质量进行检验。</w:t>
            </w:r>
          </w:p>
        </w:tc>
        <w:tc>
          <w:tcPr>
            <w:tcW w:w="4470" w:type="dxa"/>
            <w:gridSpan w:val="6"/>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因不履行或不正确履行行政职能,有下列情形的,监督机关及相关工作人员应承担相应责任;</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1.监督检查过程中,应当下达的法律文书未下达的;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 xml:space="preserve"> 2.不按监督检查项目进行详细检查,而只是走简单过程的;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3.对违规从事种子生产经营活动的场所,应该查封的而未查封的;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4.申请人对检测结果有异议的,而未组织复检的;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 xml:space="preserve"> 5.监督检查结果,未依法向社会公开的;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6.监督检查企业、单位、个人违反八项规定的；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7.监督检查人员，以权谋私，未公平合理处理监督结案的；</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8.其他违反法律法规规章文件规定的行为；</w:t>
            </w:r>
          </w:p>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c>
          <w:tcPr>
            <w:tcW w:w="645" w:type="dxa"/>
            <w:gridSpan w:val="3"/>
            <w:vAlign w:val="center"/>
          </w:tcPr>
          <w:p>
            <w:pPr>
              <w:keepNext w:val="0"/>
              <w:keepLines w:val="0"/>
              <w:suppressLineNumbers w:val="0"/>
              <w:tabs>
                <w:tab w:val="left" w:pos="7937"/>
              </w:tabs>
              <w:spacing w:before="0" w:beforeAutospacing="0" w:after="0" w:afterAutospacing="0" w:line="240" w:lineRule="exact"/>
              <w:ind w:left="0" w:right="0"/>
              <w:jc w:val="center"/>
              <w:rPr>
                <w:rFonts w:hint="eastAsia" w:ascii="宋体" w:hAnsi="宋体" w:eastAsia="宋体" w:cs="Times New Roman"/>
                <w:kern w:val="2"/>
                <w:sz w:val="15"/>
                <w:szCs w:val="15"/>
                <w:lang w:val="en-US" w:eastAsia="zh-CN" w:bidi="ar-SA"/>
              </w:rPr>
            </w:pPr>
          </w:p>
        </w:tc>
      </w:tr>
    </w:tbl>
    <w:p>
      <w:pPr>
        <w:spacing w:line="600" w:lineRule="exact"/>
        <w:jc w:val="center"/>
        <w:rPr>
          <w:rFonts w:hint="eastAsia" w:ascii="方正小标宋简体" w:hAnsi="方正小标宋简体" w:eastAsia="方正小标宋简体"/>
          <w:sz w:val="36"/>
        </w:rPr>
      </w:pPr>
    </w:p>
    <w:p>
      <w:pPr>
        <w:tabs>
          <w:tab w:val="left" w:pos="7937"/>
        </w:tabs>
        <w:spacing w:line="240" w:lineRule="exact"/>
        <w:jc w:val="both"/>
        <w:rPr>
          <w:rFonts w:hint="eastAsia" w:ascii="宋体" w:hAnsi="宋体" w:eastAsia="宋体"/>
          <w:sz w:val="15"/>
          <w:szCs w:val="15"/>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281"/>
    <w:rsid w:val="0000008D"/>
    <w:rsid w:val="000042FA"/>
    <w:rsid w:val="00004AC5"/>
    <w:rsid w:val="000132D3"/>
    <w:rsid w:val="00020BFE"/>
    <w:rsid w:val="00022FE4"/>
    <w:rsid w:val="000240F4"/>
    <w:rsid w:val="000507DB"/>
    <w:rsid w:val="00053A16"/>
    <w:rsid w:val="00053AE2"/>
    <w:rsid w:val="000702A6"/>
    <w:rsid w:val="000B59BE"/>
    <w:rsid w:val="000D7849"/>
    <w:rsid w:val="001503AF"/>
    <w:rsid w:val="00165CF8"/>
    <w:rsid w:val="0017040F"/>
    <w:rsid w:val="001704BA"/>
    <w:rsid w:val="00193083"/>
    <w:rsid w:val="00193F0C"/>
    <w:rsid w:val="001B2565"/>
    <w:rsid w:val="001C6352"/>
    <w:rsid w:val="001D6624"/>
    <w:rsid w:val="001F025D"/>
    <w:rsid w:val="001F7267"/>
    <w:rsid w:val="00205CDE"/>
    <w:rsid w:val="002406F2"/>
    <w:rsid w:val="00247117"/>
    <w:rsid w:val="00253E61"/>
    <w:rsid w:val="0028017E"/>
    <w:rsid w:val="00284622"/>
    <w:rsid w:val="002912BB"/>
    <w:rsid w:val="002A5494"/>
    <w:rsid w:val="002E0038"/>
    <w:rsid w:val="002E02FC"/>
    <w:rsid w:val="00307AC3"/>
    <w:rsid w:val="00392051"/>
    <w:rsid w:val="003B0A53"/>
    <w:rsid w:val="003D64F2"/>
    <w:rsid w:val="003E5981"/>
    <w:rsid w:val="003E6BEB"/>
    <w:rsid w:val="003F5DAE"/>
    <w:rsid w:val="00401F7F"/>
    <w:rsid w:val="00437A0F"/>
    <w:rsid w:val="004556A5"/>
    <w:rsid w:val="00472178"/>
    <w:rsid w:val="00477E38"/>
    <w:rsid w:val="004C010F"/>
    <w:rsid w:val="00500B17"/>
    <w:rsid w:val="005017E8"/>
    <w:rsid w:val="00516B88"/>
    <w:rsid w:val="005251CB"/>
    <w:rsid w:val="0052706E"/>
    <w:rsid w:val="00594AF0"/>
    <w:rsid w:val="005A40C6"/>
    <w:rsid w:val="005F3E39"/>
    <w:rsid w:val="00621542"/>
    <w:rsid w:val="00665EE9"/>
    <w:rsid w:val="006737BB"/>
    <w:rsid w:val="006B792C"/>
    <w:rsid w:val="00721EB8"/>
    <w:rsid w:val="0075643A"/>
    <w:rsid w:val="00763916"/>
    <w:rsid w:val="00764BB4"/>
    <w:rsid w:val="00766121"/>
    <w:rsid w:val="00772CE0"/>
    <w:rsid w:val="007922D3"/>
    <w:rsid w:val="007A1AC2"/>
    <w:rsid w:val="007C0CF1"/>
    <w:rsid w:val="00801E50"/>
    <w:rsid w:val="00826A03"/>
    <w:rsid w:val="00854C91"/>
    <w:rsid w:val="00862E30"/>
    <w:rsid w:val="00871D14"/>
    <w:rsid w:val="008733CB"/>
    <w:rsid w:val="008B4FDC"/>
    <w:rsid w:val="0097157F"/>
    <w:rsid w:val="009C0BDE"/>
    <w:rsid w:val="009E6125"/>
    <w:rsid w:val="009F4307"/>
    <w:rsid w:val="00A051AD"/>
    <w:rsid w:val="00A156B0"/>
    <w:rsid w:val="00A6025C"/>
    <w:rsid w:val="00A706A4"/>
    <w:rsid w:val="00A878EB"/>
    <w:rsid w:val="00AB2A10"/>
    <w:rsid w:val="00AC3DAB"/>
    <w:rsid w:val="00B14EDC"/>
    <w:rsid w:val="00B34E55"/>
    <w:rsid w:val="00B620F0"/>
    <w:rsid w:val="00BA3308"/>
    <w:rsid w:val="00BA60DB"/>
    <w:rsid w:val="00BB6348"/>
    <w:rsid w:val="00BC7281"/>
    <w:rsid w:val="00C24817"/>
    <w:rsid w:val="00C572DA"/>
    <w:rsid w:val="00CB2051"/>
    <w:rsid w:val="00CE49F7"/>
    <w:rsid w:val="00CF1855"/>
    <w:rsid w:val="00DA1D10"/>
    <w:rsid w:val="00DC0AD0"/>
    <w:rsid w:val="00DD56AF"/>
    <w:rsid w:val="00DE2E0C"/>
    <w:rsid w:val="00DF3533"/>
    <w:rsid w:val="00E47E26"/>
    <w:rsid w:val="00E81DF6"/>
    <w:rsid w:val="00E92277"/>
    <w:rsid w:val="00EB0CBA"/>
    <w:rsid w:val="00EC6C37"/>
    <w:rsid w:val="00F04460"/>
    <w:rsid w:val="00F223F6"/>
    <w:rsid w:val="00F42976"/>
    <w:rsid w:val="00F534B5"/>
    <w:rsid w:val="00F54A6B"/>
    <w:rsid w:val="00F62556"/>
    <w:rsid w:val="00FE619A"/>
    <w:rsid w:val="05DD3ECA"/>
    <w:rsid w:val="08367DDF"/>
    <w:rsid w:val="090D2EC5"/>
    <w:rsid w:val="0A7F1D8C"/>
    <w:rsid w:val="10E234F1"/>
    <w:rsid w:val="1A15610B"/>
    <w:rsid w:val="1C0F1E64"/>
    <w:rsid w:val="1D24681E"/>
    <w:rsid w:val="21666A19"/>
    <w:rsid w:val="29BB3FB8"/>
    <w:rsid w:val="2AA35F2A"/>
    <w:rsid w:val="2EB60DF8"/>
    <w:rsid w:val="30914573"/>
    <w:rsid w:val="330E754C"/>
    <w:rsid w:val="333A4673"/>
    <w:rsid w:val="35796233"/>
    <w:rsid w:val="38AF7F7F"/>
    <w:rsid w:val="43D92715"/>
    <w:rsid w:val="45317B47"/>
    <w:rsid w:val="46163641"/>
    <w:rsid w:val="48CB76B7"/>
    <w:rsid w:val="4E203C71"/>
    <w:rsid w:val="5258134D"/>
    <w:rsid w:val="52834B3F"/>
    <w:rsid w:val="53210B9C"/>
    <w:rsid w:val="54DC067B"/>
    <w:rsid w:val="561F03E2"/>
    <w:rsid w:val="5A7D6C5B"/>
    <w:rsid w:val="5AD97D17"/>
    <w:rsid w:val="5CE5328D"/>
    <w:rsid w:val="5FFE3F7B"/>
    <w:rsid w:val="61DA3C3D"/>
    <w:rsid w:val="64700558"/>
    <w:rsid w:val="66907E6D"/>
    <w:rsid w:val="682075C8"/>
    <w:rsid w:val="6A4F52BF"/>
    <w:rsid w:val="6EA2479D"/>
    <w:rsid w:val="70F614AB"/>
    <w:rsid w:val="79B35BFC"/>
    <w:rsid w:val="7B2964C8"/>
    <w:rsid w:val="7DDE2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paragraph" w:styleId="8">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 w:type="paragraph" w:customStyle="1" w:styleId="11">
    <w:name w:val="Char"/>
    <w:basedOn w:val="1"/>
    <w:qFormat/>
    <w:uiPriority w:val="0"/>
    <w:pPr>
      <w:snapToGrid w:val="0"/>
      <w:spacing w:after="156" w:afterLines="50" w:line="360" w:lineRule="auto"/>
      <w:ind w:firstLine="480" w:firstLineChars="200"/>
    </w:pPr>
  </w:style>
  <w:style w:type="paragraph" w:customStyle="1" w:styleId="12">
    <w:name w:val=" Char"/>
    <w:basedOn w:val="1"/>
    <w:qFormat/>
    <w:uiPriority w:val="0"/>
    <w:pPr>
      <w:snapToGrid w:val="0"/>
      <w:spacing w:after="156" w:afterLines="50" w:line="360" w:lineRule="auto"/>
      <w:ind w:firstLine="48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68</Pages>
  <Words>11770</Words>
  <Characters>67092</Characters>
  <Lines>559</Lines>
  <Paragraphs>157</Paragraphs>
  <TotalTime>21</TotalTime>
  <ScaleCrop>false</ScaleCrop>
  <LinksUpToDate>false</LinksUpToDate>
  <CharactersWithSpaces>78705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2021-01-12T01:30:00Z</dcterms:created>
  <dc:creator>lenovo</dc:creator>
  <cp:lastModifiedBy>王爱丽13231466957</cp:lastModifiedBy>
  <dcterms:modified xsi:type="dcterms:W3CDTF">2021-03-25T01:54:23Z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5E634986CC8C41069892EDA476BBC103</vt:lpwstr>
  </property>
</Properties>
</file>