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rPr>
      </w:pPr>
      <w:r>
        <w:rPr>
          <w:rFonts w:hint="eastAsia" w:ascii="黑体" w:hAnsi="黑体" w:eastAsia="黑体"/>
        </w:rPr>
        <w:t>附件4</w:t>
      </w:r>
    </w:p>
    <w:p>
      <w:pPr>
        <w:spacing w:line="600" w:lineRule="exact"/>
        <w:jc w:val="center"/>
        <w:rPr>
          <w:rFonts w:ascii="方正小标宋简体" w:hAnsi="方正小标宋简体" w:eastAsia="方正小标宋简体"/>
          <w:sz w:val="36"/>
        </w:rPr>
      </w:pPr>
      <w:r>
        <w:rPr>
          <w:rFonts w:hint="eastAsia" w:ascii="方正小标宋简体" w:hAnsi="方正小标宋简体" w:eastAsia="方正小标宋简体" w:cs="Arial"/>
          <w:sz w:val="36"/>
        </w:rPr>
        <w:t>丰宁满族自治县民族宗教事务局</w:t>
      </w:r>
      <w:r>
        <w:rPr>
          <w:rFonts w:hint="eastAsia" w:ascii="方正小标宋简体" w:hAnsi="方正小标宋简体" w:eastAsia="方正小标宋简体"/>
          <w:sz w:val="36"/>
        </w:rPr>
        <w:t>权责清单事项分表</w:t>
      </w:r>
    </w:p>
    <w:p>
      <w:pPr>
        <w:spacing w:line="600" w:lineRule="exact"/>
        <w:jc w:val="center"/>
        <w:rPr>
          <w:rFonts w:ascii="楷体_GB2312" w:hAnsi="楷体_GB2312" w:eastAsia="楷体_GB2312"/>
          <w:sz w:val="36"/>
        </w:rPr>
      </w:pPr>
      <w:r>
        <w:rPr>
          <w:rFonts w:hint="eastAsia" w:ascii="楷体_GB2312" w:hAnsi="楷体_GB2312" w:eastAsia="楷体_GB2312"/>
        </w:rPr>
        <w:t>（共4类、</w:t>
      </w:r>
      <w:r>
        <w:rPr>
          <w:rFonts w:hint="eastAsia" w:ascii="楷体_GB2312" w:hAnsi="楷体_GB2312" w:eastAsia="楷体_GB2312"/>
          <w:lang w:val="en-US" w:eastAsia="zh-CN"/>
        </w:rPr>
        <w:t>40</w:t>
      </w:r>
      <w:r>
        <w:rPr>
          <w:rFonts w:hint="eastAsia" w:ascii="楷体_GB2312" w:hAnsi="楷体_GB2312" w:eastAsia="楷体_GB2312"/>
        </w:rPr>
        <w:t>项）</w:t>
      </w:r>
    </w:p>
    <w:p>
      <w:pPr>
        <w:spacing w:line="600" w:lineRule="exact"/>
        <w:rPr>
          <w:rFonts w:hint="eastAsia" w:ascii="楷体_GB2312" w:hAnsi="楷体_GB2312" w:eastAsia="楷体_GB2312" w:cs="Arial"/>
          <w:sz w:val="28"/>
        </w:rPr>
      </w:pPr>
      <w:r>
        <w:rPr>
          <w:rFonts w:hint="eastAsia" w:ascii="楷体_GB2312" w:hAnsi="楷体_GB2312" w:eastAsia="楷体_GB2312"/>
          <w:sz w:val="28"/>
        </w:rPr>
        <w:t>单位：</w:t>
      </w:r>
      <w:r>
        <w:rPr>
          <w:rFonts w:hint="eastAsia" w:ascii="仿宋_GB2312" w:hAnsi="仿宋_GB2312" w:eastAsia="仿宋_GB2312" w:cs="仿宋_GB2312"/>
          <w:sz w:val="24"/>
          <w:szCs w:val="24"/>
        </w:rPr>
        <w:t>丰宁满族自治县民族宗教事务局</w:t>
      </w:r>
      <w:r>
        <w:rPr>
          <w:rFonts w:hint="eastAsia" w:ascii="楷体_GB2312" w:hAnsi="楷体_GB2312" w:eastAsia="楷体_GB2312" w:cs="Arial"/>
          <w:sz w:val="28"/>
        </w:rPr>
        <w:t>（公章）</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74"/>
        <w:gridCol w:w="1549"/>
        <w:gridCol w:w="1140"/>
        <w:gridCol w:w="3046"/>
        <w:gridCol w:w="3045"/>
        <w:gridCol w:w="2519"/>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exact"/>
        </w:trPr>
        <w:tc>
          <w:tcPr>
            <w:tcW w:w="752" w:type="dxa"/>
            <w:vAlign w:val="center"/>
          </w:tcPr>
          <w:p>
            <w:pPr>
              <w:autoSpaceDN w:val="0"/>
              <w:spacing w:line="300" w:lineRule="exact"/>
              <w:jc w:val="center"/>
              <w:textAlignment w:val="center"/>
              <w:rPr>
                <w:rFonts w:ascii="仿宋_GB2312"/>
              </w:rPr>
            </w:pPr>
            <w:r>
              <w:rPr>
                <w:rFonts w:ascii="黑体" w:hAnsi="黑体" w:eastAsia="黑体"/>
                <w:color w:val="000000"/>
                <w:sz w:val="24"/>
              </w:rPr>
              <w:t>序号</w:t>
            </w:r>
          </w:p>
        </w:tc>
        <w:tc>
          <w:tcPr>
            <w:tcW w:w="774" w:type="dxa"/>
            <w:vAlign w:val="center"/>
          </w:tcPr>
          <w:p>
            <w:pPr>
              <w:autoSpaceDN w:val="0"/>
              <w:spacing w:line="300" w:lineRule="exact"/>
              <w:jc w:val="center"/>
              <w:textAlignment w:val="center"/>
              <w:rPr>
                <w:rFonts w:ascii="仿宋_GB2312"/>
              </w:rPr>
            </w:pPr>
            <w:r>
              <w:rPr>
                <w:rFonts w:ascii="黑体" w:hAnsi="黑体" w:eastAsia="黑体"/>
                <w:color w:val="000000"/>
                <w:sz w:val="24"/>
              </w:rPr>
              <w:t>权力类型</w:t>
            </w:r>
          </w:p>
        </w:tc>
        <w:tc>
          <w:tcPr>
            <w:tcW w:w="1549" w:type="dxa"/>
            <w:vAlign w:val="center"/>
          </w:tcPr>
          <w:p>
            <w:pPr>
              <w:autoSpaceDN w:val="0"/>
              <w:spacing w:line="300" w:lineRule="exact"/>
              <w:jc w:val="center"/>
              <w:textAlignment w:val="center"/>
              <w:rPr>
                <w:rFonts w:ascii="仿宋_GB2312"/>
              </w:rPr>
            </w:pPr>
            <w:r>
              <w:rPr>
                <w:rFonts w:ascii="黑体" w:hAnsi="黑体" w:eastAsia="黑体"/>
                <w:color w:val="000000"/>
                <w:sz w:val="24"/>
              </w:rPr>
              <w:t>权力事项</w:t>
            </w:r>
          </w:p>
        </w:tc>
        <w:tc>
          <w:tcPr>
            <w:tcW w:w="1140" w:type="dxa"/>
            <w:vAlign w:val="center"/>
          </w:tcPr>
          <w:p>
            <w:pPr>
              <w:autoSpaceDN w:val="0"/>
              <w:spacing w:line="300" w:lineRule="exact"/>
              <w:jc w:val="center"/>
              <w:textAlignment w:val="center"/>
              <w:rPr>
                <w:rFonts w:ascii="仿宋_GB2312"/>
              </w:rPr>
            </w:pPr>
            <w:r>
              <w:rPr>
                <w:rFonts w:ascii="黑体" w:hAnsi="黑体" w:eastAsia="黑体"/>
                <w:color w:val="000000"/>
                <w:sz w:val="24"/>
              </w:rPr>
              <w:t>行政主体</w:t>
            </w:r>
          </w:p>
        </w:tc>
        <w:tc>
          <w:tcPr>
            <w:tcW w:w="3046" w:type="dxa"/>
            <w:vAlign w:val="center"/>
          </w:tcPr>
          <w:p>
            <w:pPr>
              <w:autoSpaceDN w:val="0"/>
              <w:spacing w:line="300" w:lineRule="exact"/>
              <w:jc w:val="center"/>
              <w:textAlignment w:val="center"/>
              <w:rPr>
                <w:rFonts w:ascii="仿宋_GB2312"/>
              </w:rPr>
            </w:pPr>
            <w:r>
              <w:rPr>
                <w:rFonts w:ascii="黑体" w:hAnsi="黑体" w:eastAsia="黑体"/>
                <w:color w:val="000000"/>
                <w:sz w:val="24"/>
              </w:rPr>
              <w:t>实施依据</w:t>
            </w:r>
          </w:p>
        </w:tc>
        <w:tc>
          <w:tcPr>
            <w:tcW w:w="3045" w:type="dxa"/>
            <w:vAlign w:val="center"/>
          </w:tcPr>
          <w:p>
            <w:pPr>
              <w:autoSpaceDN w:val="0"/>
              <w:spacing w:line="300" w:lineRule="exact"/>
              <w:jc w:val="center"/>
              <w:textAlignment w:val="center"/>
              <w:rPr>
                <w:rFonts w:ascii="仿宋_GB2312"/>
              </w:rPr>
            </w:pPr>
            <w:r>
              <w:rPr>
                <w:rFonts w:ascii="黑体" w:hAnsi="黑体" w:eastAsia="黑体"/>
                <w:color w:val="000000"/>
                <w:sz w:val="24"/>
              </w:rPr>
              <w:t>责任事项</w:t>
            </w:r>
          </w:p>
        </w:tc>
        <w:tc>
          <w:tcPr>
            <w:tcW w:w="2519" w:type="dxa"/>
            <w:vAlign w:val="center"/>
          </w:tcPr>
          <w:p>
            <w:pPr>
              <w:autoSpaceDN w:val="0"/>
              <w:spacing w:line="300" w:lineRule="exact"/>
              <w:jc w:val="center"/>
              <w:textAlignment w:val="center"/>
              <w:rPr>
                <w:rFonts w:ascii="仿宋_GB2312"/>
              </w:rPr>
            </w:pPr>
            <w:r>
              <w:rPr>
                <w:rFonts w:ascii="黑体" w:hAnsi="黑体" w:eastAsia="黑体"/>
                <w:color w:val="000000"/>
                <w:sz w:val="24"/>
              </w:rPr>
              <w:t>追责情形</w:t>
            </w:r>
          </w:p>
        </w:tc>
        <w:tc>
          <w:tcPr>
            <w:tcW w:w="990" w:type="dxa"/>
            <w:vAlign w:val="center"/>
          </w:tcPr>
          <w:p>
            <w:pPr>
              <w:autoSpaceDN w:val="0"/>
              <w:spacing w:line="300" w:lineRule="exact"/>
              <w:jc w:val="center"/>
              <w:textAlignment w:val="center"/>
              <w:rPr>
                <w:rFonts w:ascii="仿宋_GB2312"/>
              </w:rPr>
            </w:pPr>
            <w:r>
              <w:rPr>
                <w:rFonts w:ascii="黑体" w:hAnsi="黑体" w:eastAsia="黑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7"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1</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行政许可</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筹备设立宗教活动场所审批</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 xml:space="preserve">《宗教事务条例》第二十一条：“筹备设立宗教活动场所，由宗教团体向拟设立的宗教活动场所所在地的县级人民政府宗教事务部门提出申请。县级人民政府宗教事务部门应当自收到申请之日起30日内提出审核意见，报设区的市级人民政府宗教事务本部门。 设区的市级人民政府宗教事务部门应当自收到县级人民政府宗教事务部门报送的材料之日起30日内，对申请设立其他固定宗教活动处所的，作出批准或者不予批准的决定；对申请设立寺观教堂的，提出审核意见，报省、自治区、直辖市人民政府宗教事务部门审批。 省、自治区、直辖市人民政府宗教事务部门应当自收到设区的市级人民政府宗教事务部门报送的材料之日起30日内，作出批准或者不予批准的决定。 宗教活动场所的设立申请获批准后，方可办理该宗教活动场所的筹建事项。” </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1.受理责任：公示法定应当提交的材料；一次性告知补正材料；依法受理或不予受理申请（不予受理的说明理由）。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2.审查责任：对申请人提交的申请材料进行审查，提出审查意见。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3.决定责任：在规定期限内作出许可或不予许可的书面决定；不予许可应告知理由，并告知相对人申请复议或提起行政诉讼的权利。</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4.送达责任：在规定期限内向申请人送达行政许可证件；建立信息档案；公开有关信息。</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5.事中事后责任：建立健全事中事后监管措施，加强监管。</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  6.法律法规规章文件规定应履行的其他责任。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因不履行或不正确履行行政职责，有下列情形的，主管部门及其工作人员应承担相应责任:</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1.对符合法定条件的申请不予受理的。</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2.对符合宗教教育活动筹备设立许可条件的申请人不予行政许可或者不在法定期限内作出准予行政许可决定的。</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3.未严格审查验收宗教教育活动审批许可条件，导致违反国家法律规定的.行政许可后续监管不到位，造成严重后果的。</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4.发生贪腐行为的。</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5.其他违反法律法规政策规定的行为。</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7"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2</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行政许可</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在宗教活动场所内改建或者新建建筑物审批</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《宗教事务条例》第三十三条 在宗教活动场所内改建或者新建建筑物，应当经所在地县级以上地方人民政府宗教事务部门批准后，依法办理规划、建设等手续。</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1.受理责任：公示法定应当提交的材料；一次性告知补正材料；依法受理或不予受理申请（不予受理的说明理由）。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2.审查责任：对申请人提交的申请材料进行审查，提出审查意见。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3.决定责任：在规定期限内作出许可或不予许可的书面决定；不予许可应告知理由，并告知相对人申请复议或提起行政诉讼的权利。</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4.送达责任：在规定期限内向申请人送达行政许可证件；建立信息档案；公开有关信息。</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5.事中事后责任：建立健全事中事后监管措施，加强监管。</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  6.法律法规规章文件规定应履行的其他责任。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因不履行或不正确履行行政职责，有下列情形的，主管部门及其工作人员应承担相应责任:</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1.对符合法定条件的申请不予受理的。</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2.对符合其他固定宗教活动处所内改建或者新建建筑物(拟改变该其他固定宗教活动处所现有布局和功能的)许可条件的申请人不予行政许可或者不在法定期限内作出准予行政许可决定的。</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3.对不符合其他固定宗教活动处所内改建或者新建建筑物许可条件的申请人准予行政许可的。</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4.未严格审查验收在其他固定宗教活动处所内改建或者新建建筑物(拟改变该其他固定宗教活动处所现有布局和功能的)许可条件，导致违反国家法律规定的.行政许可后续监管不到位，造成严重后果的。</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5.擅自增设、变更其他固定宗教活动处所内改建或者新建建筑物(拟改变该其他固定宗教活动处所现有布局和功能的)审批程序或审批条件。</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6.在其他固定宗教活动处所内改建或者新建建筑物(拟改变该其他固定宗教活动处所现有布局和功能的)审批过程中违法收取费用的。</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7.发生贪腐行为的。</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8.其他违反法律法规政策规定的行为。</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2"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3</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行政许可</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宗教活动场所登记、合并、分立、终止或者变更登记内容审批</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事务条例》第二十二条宗教活动场所经批准筹备并建设完工后，应当向所在地的县级人民政府宗教事务部门申请登记。县级人民政府宗教事务部门应当自收到申请之日起30内对该宗教活动场所的管理组织、规章制度建设等情况进行审核，对符合条件的予以登记，发给《宗教活动场所登记证》。第二十四条 宗教活动场所终止或者变更登记内容的，应当到原登记管理机关办理相应的注销或者变更登记手续。</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1.受理责任：公示法定应当提交的材料；一次性告知补正材料；依法受理或不予受理申请（不予受理的说明理由）。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2.审查责任：对申请人提交的申请材料进行审查，提出审查意见。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3.决定责任：在规定期限内作出许可或不予许可的书面决定；不予许可应告知理由，并告知相对人申请复议或提起行政诉讼的权利。</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4.送达责任：在规定期限内向申请人送达行政许可证件；建立信息档案；公开有关信息。</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5.事中事后责任：建立健全事中事后监管措施，加强监管。</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  6.法律法规规章文件规定应履行的其他责任。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因不履行或不正确履行行政职责，有下列情形的，主管部门及其工作人员应承担相应责任:</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1.对符合法定条件的申请不予受理的。</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2.对符合宗教教育活动筹备设立许可条件的申请人不予行政许可或者不在法定期限内作出准予行政许可决定的。</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3.未严格审查验收宗教教育活动审批许可条件，导致违反国家法律规定的.行政许可后续监管不到位，造成严重后果的。</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4.发生贪腐行为的。</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5.其他违反法律法规政策规定的行为。</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2"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4</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行政许可</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地方性宗教团体成立、变更、注销前审批</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《宗教事务条例》第七条 宗教团体的成立、变更和注销，应当依照国家社会团体管理的有关规定办理登记。</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　　宗教团体章程应当符合国家社会团体管理的有关规定。</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1.受理责任：公示法定应当提交的材料；一次性告知补正材料；依法受理或不予受理申请（不予受理的说明理由）。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2.审查责任：对申请人提交的申请材料进行审查，提出审查意见。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3.决定责任：在规定期限内作出许可或不予许可的书面决定；不予许可应告知理由，并告知相对人申请复议或提起行政诉讼的权利。</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4.送达责任：在规定期限内向申请人送达行政许可证件；建立信息档案；公开有关信息。</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5.事中事后责任：建立健全事中事后监管措施，加强监管。</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  6.法律法规规章文件规定应履行的其他责任。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因不履行或不正确履行行政职责，有下列情形的，主管部门及其工作人员应承担相应责任:</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1.对符合法定条件的申请不予受理的。</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2.对符合宗教教育活动筹备设立许可条件的申请人不予行政许可或者不在法定期限内作出准予行政许可决定的。</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3.未严格审查验收宗教教育活动审批许可条件，导致违反国家法律规定的.行政许可后续监管不到位，造成严重后果的。</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4.发生贪腐行为的。</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5.其他违反法律法规政策规定的行为。</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2" w:hRule="exact"/>
        </w:trPr>
        <w:tc>
          <w:tcPr>
            <w:tcW w:w="752" w:type="dxa"/>
            <w:vAlign w:val="center"/>
          </w:tcPr>
          <w:p>
            <w:pPr>
              <w:autoSpaceDN w:val="0"/>
              <w:spacing w:line="300" w:lineRule="exact"/>
              <w:jc w:val="center"/>
              <w:textAlignment w:val="center"/>
              <w:rPr>
                <w:rFonts w:hint="eastAsia"/>
                <w:sz w:val="20"/>
                <w:szCs w:val="20"/>
              </w:rPr>
            </w:pPr>
            <w:r>
              <w:rPr>
                <w:rFonts w:hint="eastAsia"/>
                <w:sz w:val="20"/>
                <w:szCs w:val="20"/>
              </w:rPr>
              <w:t>5</w:t>
            </w:r>
          </w:p>
        </w:tc>
        <w:tc>
          <w:tcPr>
            <w:tcW w:w="774"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行政许可</w:t>
            </w:r>
          </w:p>
        </w:tc>
        <w:tc>
          <w:tcPr>
            <w:tcW w:w="154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设立宗教临时活动地点审批</w:t>
            </w:r>
          </w:p>
        </w:tc>
        <w:tc>
          <w:tcPr>
            <w:tcW w:w="1140"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2004年11月30日国务院令第426号，2017年8月26日修订）第三十五条第一款：“信教公民有进行经常性集体宗教活动需要，尚不具备条件申请设立宗教活动场所的，由信教公民代表向县级人民政府宗教事务部门提出申请，县级人民政府宗教事务部门征求所在地宗教团体和乡级人民政府意见后，可以为其指定临时活动地点。”</w:t>
            </w:r>
          </w:p>
        </w:tc>
        <w:tc>
          <w:tcPr>
            <w:tcW w:w="3045" w:type="dxa"/>
            <w:vAlign w:val="center"/>
          </w:tcPr>
          <w:p>
            <w:pPr>
              <w:autoSpaceDN w:val="0"/>
              <w:spacing w:line="300" w:lineRule="exact"/>
              <w:jc w:val="center"/>
              <w:textAlignment w:val="center"/>
              <w:rPr>
                <w:rFonts w:hint="eastAsia" w:ascii="仿宋_GB2312" w:hAnsi="仿宋_GB2312"/>
                <w:color w:val="000000"/>
                <w:sz w:val="24"/>
              </w:rPr>
            </w:pPr>
            <w:r>
              <w:rPr>
                <w:rFonts w:ascii="仿宋_GB2312" w:hAnsi="仿宋_GB2312"/>
                <w:color w:val="000000"/>
                <w:sz w:val="24"/>
              </w:rPr>
              <w:t>1.受理责任：公示法定应当提交的材料；一次性告知补正材料；依 法受理或不予受理申请（不予受理的说明理由）。 2.审查责任：对申请人提交的申请材料进行审查，提出审查意见。 3.决定责任：在规定期限内作出许可或不予许可的书面决定；不予 许可应告知理由，并告知相对人申请复议或提起行政诉讼的权利。 4.送达责任：在规定期限内向申请人送达行政许可证件；建立信息 档案；公开有关信息。 5.事中事后责任：建立健全事中事后监管措施，加强监管。 6.法律法规规章文件规定应履行的其他责任。</w:t>
            </w:r>
          </w:p>
        </w:tc>
        <w:tc>
          <w:tcPr>
            <w:tcW w:w="2519" w:type="dxa"/>
            <w:vAlign w:val="center"/>
          </w:tcPr>
          <w:p>
            <w:pPr>
              <w:autoSpaceDN w:val="0"/>
              <w:spacing w:line="300" w:lineRule="exact"/>
              <w:jc w:val="center"/>
              <w:textAlignment w:val="center"/>
              <w:rPr>
                <w:rFonts w:ascii="仿宋_GB2312" w:hAnsi="仿宋_GB2312"/>
                <w:color w:val="000000"/>
                <w:sz w:val="24"/>
              </w:rPr>
            </w:pPr>
            <w:r>
              <w:rPr>
                <w:rFonts w:ascii="仿宋_GB2312" w:hAnsi="仿宋_GB2312"/>
                <w:color w:val="000000"/>
                <w:sz w:val="24"/>
              </w:rPr>
              <w:t>因不履行或不正确履行行政职责，有下列情形的，行政机关及相关工作人员应承担相应责任： 1、申请人提交申请材料不齐全、不符合法定形式，不一次告知申请人必须补正的全部内容的；2、对符合法定条件的行政许可申请不予受理的，对不符合法定条件的行政许可申请予以受理的；3、在受理、审查、决定行政许可过程中，未向申请人履行法定告知义务的；4、对不符合法定条件的申请人准予行政许可或者超越法定职权作出准予行政许可决定的；5、其他违反法律法规规章文件规定的行为。</w:t>
            </w:r>
            <w:r>
              <w:rPr>
                <w:rFonts w:hint="eastAsia" w:ascii="仿宋_GB2312" w:hAnsi="仿宋_GB2312"/>
                <w:color w:val="000000"/>
                <w:sz w:val="24"/>
              </w:rPr>
              <w:t>政策规定的行为。</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2" w:hRule="exact"/>
        </w:trPr>
        <w:tc>
          <w:tcPr>
            <w:tcW w:w="752" w:type="dxa"/>
            <w:vAlign w:val="center"/>
          </w:tcPr>
          <w:p>
            <w:pPr>
              <w:autoSpaceDN w:val="0"/>
              <w:spacing w:line="300" w:lineRule="exact"/>
              <w:jc w:val="center"/>
              <w:textAlignment w:val="center"/>
              <w:rPr>
                <w:rFonts w:hint="eastAsia"/>
                <w:sz w:val="20"/>
                <w:szCs w:val="20"/>
              </w:rPr>
            </w:pPr>
            <w:r>
              <w:rPr>
                <w:rFonts w:hint="eastAsia"/>
                <w:sz w:val="20"/>
                <w:szCs w:val="20"/>
              </w:rPr>
              <w:t>6</w:t>
            </w:r>
          </w:p>
        </w:tc>
        <w:tc>
          <w:tcPr>
            <w:tcW w:w="774"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行政许可</w:t>
            </w:r>
          </w:p>
        </w:tc>
        <w:tc>
          <w:tcPr>
            <w:tcW w:w="154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宗教团体、宗教活动场所接受境外组织和个人捐赠（超过十万元）审批</w:t>
            </w:r>
          </w:p>
        </w:tc>
        <w:tc>
          <w:tcPr>
            <w:tcW w:w="1140"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《宗教事务条例》国务院令686号第五十七条宗教团体、宗教院校、宗教活动场所可以按照国家有关规定接受境内外组织和个人的捐赠，用于与其宗旨相符的活动。 宗教团体、宗教院校、宗教活动场所不得接受境外组织和个人附带条件的捐赠，接受捐赠金额超过10万元的，应当报县级以上人民政府宗教事务部门审批。 宗教团体、宗教院校、宗教活动场所可以按照宗教习惯接受公民的捐赠，但不得强迫或者摊派。</w:t>
            </w:r>
          </w:p>
        </w:tc>
        <w:tc>
          <w:tcPr>
            <w:tcW w:w="3045"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1.受理申请，并接受其报送的相关材料。</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2.组织论证审查。</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3.对审查结果进行确认，下达文书。</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因不履行或不正确履行行政职责，有下列情形的，行政机关及相关工作人员应承担相应责任： 1、申请人提交申请材料不齐全、不符合法定形式，不一次告知申请人必须补正的全部内容的；2、对符合法定条件的行政许可申请不予受理的，对不符合法定条件的行政许可申请予以受理的；3、在受理、审查、决定行政许可过程中，未向申请人履行法定告知义务的；4、对不符合法定条件的申请人准予行政许可或者超越法定职权作出准予行政许可决定的；5、对符合法定条件的申请人不予行政许可或者不在法定期限内作出准予行政许可决定的；6、在审批过程中违反廉政建设有关规定、索取或收受他人财物或者谋取其他利益的；7、其他违反法律法规规章文件规定的行为。</w:t>
            </w:r>
          </w:p>
        </w:tc>
        <w:tc>
          <w:tcPr>
            <w:tcW w:w="990" w:type="dxa"/>
            <w:vAlign w:val="center"/>
          </w:tcPr>
          <w:p>
            <w:pPr>
              <w:autoSpaceDN w:val="0"/>
              <w:spacing w:line="300" w:lineRule="exact"/>
              <w:jc w:val="center"/>
              <w:textAlignment w:val="center"/>
              <w:rPr>
                <w:rFonts w:hint="eastAsia"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2" w:hRule="exact"/>
        </w:trPr>
        <w:tc>
          <w:tcPr>
            <w:tcW w:w="752" w:type="dxa"/>
            <w:vAlign w:val="center"/>
          </w:tcPr>
          <w:p>
            <w:pPr>
              <w:autoSpaceDN w:val="0"/>
              <w:spacing w:line="300" w:lineRule="exact"/>
              <w:jc w:val="center"/>
              <w:textAlignment w:val="center"/>
              <w:rPr>
                <w:rFonts w:ascii="仿宋_GB2312" w:hAnsi="仿宋_GB2312"/>
                <w:color w:val="000000"/>
                <w:sz w:val="24"/>
              </w:rPr>
            </w:pPr>
            <w:r>
              <w:rPr>
                <w:sz w:val="20"/>
                <w:szCs w:val="20"/>
              </w:rPr>
              <w:t>7</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强制公民信仰宗教或者不信仰宗教或者干扰宗教团体、宗教活动场所正常的宗教活动的处罚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2017年6月14日国务院第176次常务会议修订通过的国务院令第686号）第六十二条：强制公民信仰宗教或者不信仰宗教，或者干扰宗教团体、宗教院校、宗教活动场所正常的宗教活动的，由宗教事务部门责令改正；有违反治安管理行为的，依法给予治安管理处罚。 侵犯宗教团体、宗教院校、宗教活动场所和信教公民合法权益的，依法承担民事责任；构成犯罪的，依法追究刑事责任。</w:t>
            </w:r>
          </w:p>
        </w:tc>
        <w:tc>
          <w:tcPr>
            <w:tcW w:w="3045"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强制公民信仰宗教或者不信仰宗教，或者干扰宗教团体、宗教院校、宗教活动场所正常的宗教活动的违法行为，由宗教事务部门责令改正；有违反治安管理行为的，由公安机关依法给予治安管理处罚。侵犯宗教团体、宗教院校、宗教活动场所和信教公民合法权益，首先的救济方式是承担民事责任。 严重侵犯宗教团体、宗教院校、宗教活动场所和信教公民合法权益， 造成严重后果，触犯刑法的，就要依法承担刑事责任。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我国宪法第三十六条规定：“任何国家机关、社会团体和个人不得强制公民信仰宗教或者不信仰宗教，不得歧视信仰宗教的公民和不信仰宗教的公民。”《中华人民共和国刑法》第二百五十一条规定：“国家机关工作人员非法剥夺公民的宗教信仰自由和侵犯少数民族风俗习惯，情节严重的，处二年以下有期徒刑或者拘役。”</w:t>
            </w:r>
          </w:p>
        </w:tc>
        <w:tc>
          <w:tcPr>
            <w:tcW w:w="990" w:type="dxa"/>
            <w:vAlign w:val="center"/>
          </w:tcPr>
          <w:p>
            <w:pPr>
              <w:autoSpaceDN w:val="0"/>
              <w:spacing w:line="300" w:lineRule="exact"/>
              <w:jc w:val="center"/>
              <w:textAlignment w:val="center"/>
              <w:rPr>
                <w:rFonts w:hint="eastAsia"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2" w:hRule="exact"/>
        </w:trPr>
        <w:tc>
          <w:tcPr>
            <w:tcW w:w="752" w:type="dxa"/>
            <w:vAlign w:val="center"/>
          </w:tcPr>
          <w:p>
            <w:pPr>
              <w:autoSpaceDN w:val="0"/>
              <w:spacing w:line="300" w:lineRule="exact"/>
              <w:jc w:val="center"/>
              <w:textAlignment w:val="center"/>
              <w:rPr>
                <w:rFonts w:ascii="仿宋_GB2312" w:hAnsi="仿宋_GB2312"/>
                <w:color w:val="000000"/>
                <w:sz w:val="24"/>
              </w:rPr>
            </w:pPr>
            <w:r>
              <w:rPr>
                <w:sz w:val="20"/>
                <w:szCs w:val="20"/>
              </w:rPr>
              <w:t>8</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利用宗教进行危害国家安全、公共安全，侵害公民人身权利、民主权利，防害社会管理秩序，侵犯公私财产等违法活动的处罚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《宗教事务条例》第六十三条第一款</w:t>
            </w:r>
          </w:p>
        </w:tc>
        <w:tc>
          <w:tcPr>
            <w:tcW w:w="3045" w:type="dxa"/>
            <w:vAlign w:val="center"/>
          </w:tcPr>
          <w:p>
            <w:pPr>
              <w:autoSpaceDN w:val="0"/>
              <w:spacing w:line="300" w:lineRule="exact"/>
              <w:jc w:val="center"/>
              <w:textAlignment w:val="center"/>
              <w:rPr>
                <w:rFonts w:ascii="仿宋_GB2312" w:hAnsi="仿宋_GB2312"/>
                <w:color w:val="000000"/>
                <w:sz w:val="24"/>
              </w:rPr>
            </w:pPr>
          </w:p>
        </w:tc>
        <w:tc>
          <w:tcPr>
            <w:tcW w:w="2519" w:type="dxa"/>
            <w:vAlign w:val="center"/>
          </w:tcPr>
          <w:p>
            <w:pPr>
              <w:autoSpaceDN w:val="0"/>
              <w:spacing w:line="300" w:lineRule="exact"/>
              <w:jc w:val="center"/>
              <w:textAlignment w:val="center"/>
              <w:rPr>
                <w:rFonts w:ascii="仿宋_GB2312" w:hAnsi="仿宋_GB2312"/>
                <w:color w:val="000000"/>
                <w:sz w:val="24"/>
              </w:rPr>
            </w:pP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2" w:hRule="exact"/>
        </w:trPr>
        <w:tc>
          <w:tcPr>
            <w:tcW w:w="752" w:type="dxa"/>
            <w:vAlign w:val="center"/>
          </w:tcPr>
          <w:p>
            <w:pPr>
              <w:autoSpaceDN w:val="0"/>
              <w:spacing w:line="300" w:lineRule="exact"/>
              <w:jc w:val="center"/>
              <w:textAlignment w:val="center"/>
              <w:rPr>
                <w:rFonts w:ascii="仿宋_GB2312" w:hAnsi="仿宋_GB2312"/>
                <w:color w:val="000000"/>
                <w:sz w:val="24"/>
              </w:rPr>
            </w:pPr>
            <w:r>
              <w:rPr>
                <w:sz w:val="20"/>
                <w:szCs w:val="20"/>
              </w:rPr>
              <w:t>9</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大型宗教活动中发生危害公共安全或者严重破坏社会秩序的，主办的宗教团体、寺观教堂负有责任的处罚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2017年6月14日国务院第176次常务会议修订通过的国务院令第686号）第六十四条:“大型宗教活动过程中发生危害国家安全、公共安全或者严重破坏社会秩序情况的，由有关部门依照法律、法规进行处置和处罚；主办的宗教团体、寺观教堂负有责任的， 由登记管理机关责令其撤换主要负责人，情节严重的，由登记管理机关吊销其登记证书。 擅自举行大型宗教活动的，由宗教事务部门会同有关部门责令停止活动，可以并处 10 万元以上 30 万元以下的罚款；有违法所得、非法财物的，没收违法所得和非法财物。其中，大型宗教活动是宗教团体、宗教活动场所擅自举办的，登记管理机关还可以责令该宗教团体、宗教活动场所撤换直接负责的主管人员。</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  9.法律法规规章文件规定应履行的其他责任。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default" w:ascii="仿宋_GB2312" w:hAnsi="仿宋_GB2312"/>
                <w:color w:val="000000"/>
                <w:sz w:val="24"/>
                <w:lang w:val="en-US" w:eastAsia="zh-CN"/>
              </w:rPr>
              <w:t>（一）由宗教事务部门会同有关部门责令停止活动；（二）由宗教事务部门并处 10 万元以上 30 万元以下的罚款；（三）由宗教事务部门没收违法所得和非法财物。其中，“非法财物”是指违法主体所占有的违禁品或者实施违法行为所使用的工具和物品等。对违法主体为宗教团体或者宗教活动场所的，除上述的处罚方式外， 还规定了另外 2 种处罚的方式，即由民政部门责令宗教团体撤换直接负责的主管人员，或者由宗教事务部门或民政部门责令宗教活动场所撤换直接负责的主管人员。</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2" w:hRule="exact"/>
        </w:trPr>
        <w:tc>
          <w:tcPr>
            <w:tcW w:w="752" w:type="dxa"/>
            <w:vAlign w:val="center"/>
          </w:tcPr>
          <w:p>
            <w:pPr>
              <w:autoSpaceDN w:val="0"/>
              <w:spacing w:line="300" w:lineRule="exact"/>
              <w:jc w:val="center"/>
              <w:textAlignment w:val="center"/>
              <w:rPr>
                <w:rFonts w:ascii="仿宋_GB2312" w:hAnsi="仿宋_GB2312"/>
                <w:color w:val="000000"/>
                <w:sz w:val="24"/>
              </w:rPr>
            </w:pPr>
            <w:r>
              <w:rPr>
                <w:sz w:val="20"/>
                <w:szCs w:val="20"/>
              </w:rPr>
              <w:t>10</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宗教团体、宗教活动场所擅自举行大型宗教活动的处罚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2017年6月14日国务院第176次常务会议修订通过的国务院令第686号）第六十四条:“大型宗教活动过程中发生危害国家安全、公共安全或者严重破坏社会秩序情况的，由有关部门依照法律、法规进行处置和处罚；主办的宗教团体、寺观教堂负有责任的， 由登记管理机关责令其撤换主要负责人，情节严重的，由登记管理机关吊销其登记证书。 擅自举行大型宗教活动的，由宗教事务部门会同有关部门责令停止活动，可以并处 10 万元以上 30 万元以下的罚款；有违法所得、非法财物的，没收违法所得和非法财物。其中，大型宗教活动是宗教团体、宗教活动场所擅自举办的，登记管理机关还可以责令该宗教团体、宗教活动场所撤换直接负责的主管人员。”</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  9.法律法规规章文件规定应履行的其他责任。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default" w:ascii="仿宋_GB2312" w:hAnsi="仿宋_GB2312"/>
                <w:color w:val="000000"/>
                <w:sz w:val="24"/>
                <w:lang w:val="en-US" w:eastAsia="zh-CN"/>
              </w:rPr>
              <w:t>依据《中华人民共和国治安管理处罚法》《中华人民共和国反间谍法》等相关法律、行政法规和国家有关规定给予相应处罚。本条例第四十二条规定了大型宗教活动的举办主体及审批程序，举办主体限于宗教团体和寺观教堂，其他组织和个人都不得举办，活动应当按照批准通知书载明的要求依宗教仪轨进行，不得违反本条例第四条、第五条的有关规定。本条第二款所说的“擅自举行”，是指未经举办地的设区的市级人民政府宗教事务部门批准而自行组织大型宗教活动，违法的主体包括宗教团体或寺观教堂，也包括其他的组织或者个人。对一般单位或者个人组织的，规定了 3 种处罚的方式：（一）由宗教事务部门会同有关部门责令停止活动；（二）由宗教事务部门并处 10 万元以上 30 万元以下的罚款；（三）由宗教事务部门没收违法所得和非法财物。其中，“非法财物”是指违法主体所占有的违禁品或者实施违法行为所使用的工具和物品等。对违法主体为宗教团体或者宗教活动场所的，除上述的处罚方式外， 还规定了另外 2 种处罚的方式，即由民政部门责令宗教团体撤换直接负责的主管人员，或者由宗教事务部门或民政部门责令宗教活动场所撤换直接负责的主管人员。</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2" w:hRule="exact"/>
        </w:trPr>
        <w:tc>
          <w:tcPr>
            <w:tcW w:w="752" w:type="dxa"/>
            <w:vAlign w:val="center"/>
          </w:tcPr>
          <w:p>
            <w:pPr>
              <w:autoSpaceDN w:val="0"/>
              <w:spacing w:line="300" w:lineRule="exact"/>
              <w:jc w:val="center"/>
              <w:textAlignment w:val="center"/>
              <w:rPr>
                <w:rFonts w:ascii="仿宋_GB2312" w:hAnsi="仿宋_GB2312"/>
                <w:color w:val="000000"/>
                <w:sz w:val="24"/>
              </w:rPr>
            </w:pPr>
            <w:r>
              <w:rPr>
                <w:sz w:val="20"/>
                <w:szCs w:val="20"/>
              </w:rPr>
              <w:t>11</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宗教团体、宗教活动场所未按规定办理变更登记或者备案手续的处罚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2004年11月30日国务院令第426号，2017年8月26日修订【第7条】【第1款】宗教团体的成立、变更和注销，应当依照国家社会团体管理的有关规定办理登记。</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【第15条】宗教院校变更校址、校名、隶属关系、培养目标、学制、办学规模等以及合并、分设和终止，应当按照本条例第十二条规定的程序办理。</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【第24条】宗教活动场所终止或者变更登记内容的，应当到原登记管理机关办理相应的注销或者变更登记手续。</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【第25条】宗教活动场所应当成立管理组织，实行民主管理。宗教活动场所管理组织的成员，经民主协商推选，并报该场所的登记管理机关备案。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【第36条】【第1款】宗教教职人员经宗教团体认定，报县级以上人民政府宗教事务部门备案，可以从事宗教教务活动。</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【第37条】【第1款】宗教教职人员担任或者离任宗教活动场所主要教职，经本宗教的宗教团体同意后，报县级以上人民政府宗教事务部门备案。</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  8.法律法规规章文件规定应履行的其他责任。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2"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1</w:t>
            </w:r>
            <w:r>
              <w:rPr>
                <w:sz w:val="20"/>
                <w:szCs w:val="20"/>
              </w:rPr>
              <w:t>2</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宗教团体、宗教活动场所未建立有关管理制度或者管理制度不符合要求的处罚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2004年11月30日国务院令第426号，2017年8月26日修订【第26条】宗教活动场所应当加强内部管理，依照有关法律、法规、规章的规定，建立健全人员、财务、资产、会计、治安、消防、文物保护、卫生防疫等管理制度，接受当地人民政府有关部门的指导、监督、检查。</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第65条】【第1款】【第3项】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三）宗教活动场所违反本条例第二十六条规定，未建立有关管理制度或者管理制度不符合要求的；</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  8.法律法规规章文件规定应履行的其他责任。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w:t>
            </w:r>
          </w:p>
        </w:tc>
        <w:tc>
          <w:tcPr>
            <w:tcW w:w="990" w:type="dxa"/>
            <w:vAlign w:val="center"/>
          </w:tcPr>
          <w:p>
            <w:pPr>
              <w:autoSpaceDN w:val="0"/>
              <w:spacing w:line="300" w:lineRule="exact"/>
              <w:jc w:val="center"/>
              <w:textAlignment w:val="center"/>
              <w:rPr>
                <w:rFonts w:hint="eastAsia"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1</w:t>
            </w:r>
            <w:r>
              <w:rPr>
                <w:sz w:val="20"/>
                <w:szCs w:val="20"/>
              </w:rPr>
              <w:t>3</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宗教活动场所内发生重大事故、重大事件未及时报告，造成严重后果的处罚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2004年11月30日国务院令第426号，2017年8月26日修订【第29条】【第1款】宗教活动场所应当防范本场所内发生重大事故或者发生违犯宗教禁忌等伤害信教公民宗教感情、破坏民族团结、影响社会稳定的事件。</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【第29条】【第2款】发生前款所列事故或者事件时，宗教活动场所应当立即报告所在地的县级人民政府宗教事务部门。</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第65条】【第1款】【第5项】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五）宗教活动场所内发生重大事故、重大事件未及时报告，造成严重后果的；</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  8.法律法规规章文件规定应履行的其他责任。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7"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1</w:t>
            </w:r>
            <w:r>
              <w:rPr>
                <w:sz w:val="20"/>
                <w:szCs w:val="20"/>
              </w:rPr>
              <w:t>4</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宗教团体、宗教活动场所违背宗教独立自主自办原则的处罚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2004年11月30日国务院令第426号，2017年8月26日修订【第5条】【第1款】各宗教坚持独立自主自办的原则，宗教团体、宗教院校、宗教活动场所和宗教事务不受外国势力的支配。</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第65条】【第1款】【第6项】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六）违反本条例第五条规定，违背宗教的独立自主自办原则的；</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  8.法律法规规章文件规定应履行的其他责任。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7"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1</w:t>
            </w:r>
            <w:r>
              <w:rPr>
                <w:sz w:val="20"/>
                <w:szCs w:val="20"/>
              </w:rPr>
              <w:t>5</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宗教团体、宗教活动场所违反国家有关规定接受境内外捐赠的处罚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2004年11月30日国务院令第426号，2017年8月26日修订【第5条】【第1款】各宗教坚持独立自主自办的原则，宗教团体、宗教院校、宗教活动场所和宗教事务不受外国势力的支配。</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【第5条】【第2款】宗教团体、宗教院校、宗教活动场所、宗教教职人员在相互尊重、平等、友好的基础上开展对外交往；其他组织或者个人在对外经济、文化等合作、交流活动中不得接受附加的宗教条件。</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第73条】【第1款】【第3项】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三）违反国家有关规定接受境内外捐赠的；</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  8.法律法规规章文件规定应履行的其他责任。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2"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1</w:t>
            </w:r>
            <w:r>
              <w:rPr>
                <w:sz w:val="20"/>
                <w:szCs w:val="20"/>
              </w:rPr>
              <w:t>6</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拒不接受登记管理机关依法实施的监督管理的处罚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《宗教事务条例》（国务院令第686号）第65条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……（八）拒不接受行政管理机关依法实施的监督管理的。</w:t>
            </w:r>
          </w:p>
          <w:p>
            <w:pPr>
              <w:autoSpaceDN w:val="0"/>
              <w:spacing w:line="300" w:lineRule="exact"/>
              <w:jc w:val="center"/>
              <w:textAlignment w:val="center"/>
              <w:rPr>
                <w:rFonts w:hint="eastAsia" w:ascii="仿宋_GB2312" w:hAnsi="仿宋_GB2312"/>
                <w:color w:val="000000"/>
                <w:sz w:val="24"/>
              </w:rPr>
            </w:pP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  8.法律法规规章文件规定应履行的其他责任。</w:t>
            </w:r>
          </w:p>
        </w:tc>
        <w:tc>
          <w:tcPr>
            <w:tcW w:w="251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7"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1</w:t>
            </w:r>
            <w:r>
              <w:rPr>
                <w:sz w:val="20"/>
                <w:szCs w:val="20"/>
              </w:rPr>
              <w:t>7</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涉及宗教内容的出版物含有破坏信教与不信教公民和睦相处、破坏不同宗教之间及宗教内部和睦相处、歧视侮辱信教公民或者不信教公民的、宣扬宗教极端主义的、违背宗教独立自主自办原则的处罚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2017年6月14日国务院第176次常务会议修订通过的国务院令第686号）第六十八条：涉及宗教内容的出版物或者互联网宗教信息服务有本条例第四十五条第二款禁止内容的，由有关部门对相关责任单位及人员依法给予行政处罚；构成犯罪的，依法追究刑事责任。擅自从事互联网宗教信息服务或者超出批准或备案项目提供服务的，由有关部门根据相关法律、法规处理。</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  8.法律法规规章文件规定应履行的其他责任。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2"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1</w:t>
            </w:r>
            <w:r>
              <w:rPr>
                <w:sz w:val="20"/>
                <w:szCs w:val="20"/>
              </w:rPr>
              <w:t>8</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擅自设立宗教活动场所或宗教活动场所已被撤销登记仍然进行宗教活动的处罚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2017年6月14日国务院第176次常务会议修订通过的国务院令第686号）第六十九条：擅自设立宗教活动场所的，宗教活动场所已被撤销登记或者吊销登记证书仍然进行宗教活动的，或者擅自设立宗教院校的，由宗教事务部门会同相关部门予以取缔，有违法所得、非法财物的，没收违法所得和非法财物，违法所得无法确定的，处 5 万元以下的罚款；有违法房屋、构筑物的， 由规划、建设等部门依法处理；有违反治安管理行为的，依法给予治安管理处罚。 非宗教团体、非宗教院校、非宗教活动场所、非指定的临时活动地点组织、举行宗教活动，接受宗教性捐赠的，由宗教事务部门会同公安、民政、建设、教育、文化、旅游、文物等有关部门责令停止活动；有违法所得、非法财物的，没收违法所得和非法财物，可以并处违法所得 1 倍以上 3 倍以下的罚款；违法所得无法确定的，处 5 万元以下的罚款；构成犯罪的，依法追究刑事责任。</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  8.法律法规规章文件规定应履行的其他责任。</w:t>
            </w:r>
          </w:p>
        </w:tc>
        <w:tc>
          <w:tcPr>
            <w:tcW w:w="251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1</w:t>
            </w:r>
            <w:r>
              <w:rPr>
                <w:sz w:val="20"/>
                <w:szCs w:val="20"/>
              </w:rPr>
              <w:t>9</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非宗教团体、非宗教活动场所组织、举行宗教活动，接受宗教性捐献的处罚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第69条】【第2款】非宗教团体、非宗教院校、非宗教活动场所、非指定的临时活动地点组织、举行宗教活动，接受宗教性捐赠的，由宗教事务部门会同公安、民政、建设、教育、文化、旅游、文物等有关部门责令停止活动；有违法所得、非法财物的，没收违法所得和非法财物，可以并处违法所得1倍以上3倍以下的罚款；违法所得无法确定的，处5万元以下的罚款；构成犯罪的，依法追究刑事责任。</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  8.法律法规规章文件规定应履行的其他责任。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由宗教事务部门会同公安、民政、建设、教育、文化、旅游、文物等有关部门责令停止活动；有违法所得、非法财物的，没收违法所得和非法财物，可以并处违法所得1倍以上3倍以下的罚款；违法所得无法确定的，处5万元以下的罚款；构成犯罪的，依法追究刑事责任。</w:t>
            </w:r>
          </w:p>
        </w:tc>
        <w:tc>
          <w:tcPr>
            <w:tcW w:w="990" w:type="dxa"/>
            <w:vAlign w:val="center"/>
          </w:tcPr>
          <w:p>
            <w:pPr>
              <w:autoSpaceDN w:val="0"/>
              <w:spacing w:line="300" w:lineRule="exact"/>
              <w:jc w:val="center"/>
              <w:textAlignment w:val="center"/>
              <w:rPr>
                <w:rFonts w:hint="eastAsia"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7" w:hRule="exact"/>
        </w:trPr>
        <w:tc>
          <w:tcPr>
            <w:tcW w:w="752" w:type="dxa"/>
            <w:vAlign w:val="center"/>
          </w:tcPr>
          <w:p>
            <w:pPr>
              <w:autoSpaceDN w:val="0"/>
              <w:spacing w:line="300" w:lineRule="exact"/>
              <w:jc w:val="center"/>
              <w:textAlignment w:val="center"/>
              <w:rPr>
                <w:rFonts w:ascii="仿宋_GB2312" w:hAnsi="仿宋_GB2312"/>
                <w:color w:val="000000"/>
                <w:sz w:val="24"/>
              </w:rPr>
            </w:pPr>
            <w:r>
              <w:rPr>
                <w:sz w:val="20"/>
                <w:szCs w:val="20"/>
              </w:rPr>
              <w:t>20</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擅自组织信教公民到国外朝觐的处罚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2017年6月14日国务院第176次常务会议修订通过的国务院令第686号）第七十条：擅自组织公民出境参加宗教方面的培训、会议、朝觐等活动的，或者擅自开展宗教教育培训的，由宗教事务部门会同有关部门责令停止活动，可以并处 2 万元以上 20 万元以下的罚款 ；有违法所得的，没收违法所得；构成犯罪的，依法追究刑事责任。在宗教院校以外的学校及其他教育机构传教、举行宗教活动、成立宗教组织、设立宗教活动场所的，由其审批机关或者其他有关部门责令限期改正并予以警告；有违法所得的，没收违法所得；情节严重的，责令停止招生、吊销办学许可；构成犯罪的，依法追究刑事责任。</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  9.法律法规规章文件规定应履行的其他责任。</w:t>
            </w:r>
          </w:p>
        </w:tc>
        <w:tc>
          <w:tcPr>
            <w:tcW w:w="251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7" w:hRule="exact"/>
        </w:trPr>
        <w:tc>
          <w:tcPr>
            <w:tcW w:w="752" w:type="dxa"/>
            <w:vAlign w:val="center"/>
          </w:tcPr>
          <w:p>
            <w:pPr>
              <w:autoSpaceDN w:val="0"/>
              <w:spacing w:line="300" w:lineRule="exact"/>
              <w:jc w:val="center"/>
              <w:textAlignment w:val="center"/>
              <w:rPr>
                <w:rFonts w:ascii="仿宋_GB2312" w:hAnsi="仿宋_GB2312"/>
                <w:color w:val="000000"/>
                <w:sz w:val="24"/>
              </w:rPr>
            </w:pPr>
            <w:r>
              <w:rPr>
                <w:sz w:val="20"/>
                <w:szCs w:val="20"/>
              </w:rPr>
              <w:t>21</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修建大型露天宗教造像的处罚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《宗教事务条例》（2017年6月14日国务院第176次常务会议修订通过的国务院令第686号）第七十二条:违反本条例规定修建大型露天宗教造像的， 由宗教事务部门会同国土、规划、建设、旅游等部门责令停止施工，限期拆除，有违法所得的，没收违法所得；情节严重的， 并处造像建设工程造价百分之五以上百分之十以下的罚款。投资、承包经营宗教活动场所或者大型露天宗教造像的， 由宗教事务部门会同工商、规划、建设等部门责令改正，并没收违法所得；情节严重的，由登记管理机关吊销该宗教活动场所的登记证书，并依法追究相关人员的责任。</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  12.法律法规规章文件规定应履行的其他责任。</w:t>
            </w:r>
          </w:p>
        </w:tc>
        <w:tc>
          <w:tcPr>
            <w:tcW w:w="251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exact"/>
        </w:trPr>
        <w:tc>
          <w:tcPr>
            <w:tcW w:w="752" w:type="dxa"/>
            <w:vAlign w:val="center"/>
          </w:tcPr>
          <w:p>
            <w:pPr>
              <w:autoSpaceDN w:val="0"/>
              <w:spacing w:line="300" w:lineRule="exact"/>
              <w:jc w:val="center"/>
              <w:textAlignment w:val="center"/>
              <w:rPr>
                <w:rFonts w:ascii="仿宋_GB2312" w:hAnsi="仿宋_GB2312"/>
                <w:color w:val="000000"/>
                <w:sz w:val="24"/>
              </w:rPr>
            </w:pPr>
            <w:r>
              <w:rPr>
                <w:sz w:val="20"/>
                <w:szCs w:val="20"/>
              </w:rPr>
              <w:t>22</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宗教教职人员在宗教教务活动中违反法律、法规或者规章的处罚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2004年11月30日国务院令第426号，2017年8月26日修订【第73条】【第1款】【第5项】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五）其他违反法律、法规、规章的行为。</w:t>
            </w:r>
          </w:p>
        </w:tc>
        <w:tc>
          <w:tcPr>
            <w:tcW w:w="3045"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8.法律法规规章文件规定应履行的其他责任。</w:t>
            </w:r>
          </w:p>
          <w:p>
            <w:pPr>
              <w:autoSpaceDN w:val="0"/>
              <w:spacing w:line="300" w:lineRule="exact"/>
              <w:jc w:val="center"/>
              <w:textAlignment w:val="center"/>
              <w:rPr>
                <w:rFonts w:hint="eastAsia" w:ascii="仿宋_GB2312" w:hAnsi="仿宋_GB2312"/>
                <w:color w:val="000000"/>
                <w:sz w:val="24"/>
              </w:rPr>
            </w:pP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w:t>
            </w:r>
          </w:p>
        </w:tc>
        <w:tc>
          <w:tcPr>
            <w:tcW w:w="990" w:type="dxa"/>
            <w:vAlign w:val="center"/>
          </w:tcPr>
          <w:p>
            <w:pPr>
              <w:autoSpaceDN w:val="0"/>
              <w:spacing w:line="300" w:lineRule="exact"/>
              <w:jc w:val="center"/>
              <w:textAlignment w:val="center"/>
              <w:rPr>
                <w:rFonts w:hint="eastAsia"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2</w:t>
            </w:r>
            <w:r>
              <w:rPr>
                <w:sz w:val="20"/>
                <w:szCs w:val="20"/>
              </w:rPr>
              <w:t>3</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假冒宗教教职人员进行宗教活动的处罚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2017年6月14日国务院第176次常务会议修订通过的国务院令第686号）第七十四条：假冒宗教教职人员进行宗教活动或者骗取钱财等违法活动的，由宗教事务部门责令停止活动；有违法所得、非法财物的，没收违法所得和非法财物，并处1 万元以下的罚款；有违反治安管理行为的，依法给予治安管理处罚；构成犯罪的，依法追究刑事责任</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  12.法律法规规章文件规定应履行的其他责任。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由市或者区、县人民政府宗教事务行政部门和其他有关部门予以取缔或者责令停止活动，给予警告；有违法所得的，没收违法所得；有违法房屋、构筑物的，依照有关法律、法规予以处理；有违反治安管理行为的，依法给予治安管理处罚</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7"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2</w:t>
            </w:r>
            <w:r>
              <w:rPr>
                <w:sz w:val="20"/>
                <w:szCs w:val="20"/>
              </w:rPr>
              <w:t>4</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未取得宗教教职人员合法身份从事宗教教务活动的处罚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《河北省宗教事务条例》第七十三条第五款</w:t>
            </w:r>
            <w:r>
              <w:rPr>
                <w:rFonts w:hint="default" w:ascii="仿宋_GB2312" w:hAnsi="仿宋_GB2312"/>
                <w:color w:val="000000"/>
                <w:sz w:val="24"/>
              </w:rPr>
              <w:t>第七十三条 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五)其他违反法律、法规、规章的行为。</w:t>
            </w:r>
          </w:p>
        </w:tc>
        <w:tc>
          <w:tcPr>
            <w:tcW w:w="3045"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1.立案责任：对依据监督检查职权或者通过举报、投诉、其他部门移送、上级部门交办等途径发现的违法行为线索，决定是否立案。</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2.调查责任：在调查或检查时，执法人员不得少于两人，并向当事人或有关人员出示证件，询问或检查应制作笔录；执法人员与当事人有直接利害关系的，应当回避。</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4.告知责任：在作出处罚决定之前，应当告知当事人作出处罚决定的事由、理由及依据，并告知当事人依法享有的权利；当事人依法要求听证的，应组织听证。</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5.决定责任：依法应当给予行政处罚的，制作盖有行政机关印章的行政处罚决定书，载明违法事实、证据、处罚种类和依据、权利救济途径等内容。</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6.送达责任：行政处罚决定书在决定后七日内依照民事诉讼法的有关规定送达当事人。</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7.执行责任：督促当事人履行生效的行政处罚决定，对逾期不履行的，依照《行政强制法》的规定执行。</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8.法律法规规章文件规定应履行的其他责任。</w:t>
            </w:r>
          </w:p>
          <w:p>
            <w:pPr>
              <w:autoSpaceDN w:val="0"/>
              <w:spacing w:line="300" w:lineRule="exact"/>
              <w:jc w:val="center"/>
              <w:textAlignment w:val="center"/>
              <w:rPr>
                <w:rFonts w:hint="eastAsia" w:ascii="仿宋_GB2312" w:hAnsi="仿宋_GB2312"/>
                <w:color w:val="000000"/>
                <w:sz w:val="24"/>
              </w:rPr>
            </w:pPr>
          </w:p>
        </w:tc>
        <w:tc>
          <w:tcPr>
            <w:tcW w:w="251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2"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2</w:t>
            </w:r>
            <w:r>
              <w:rPr>
                <w:sz w:val="20"/>
                <w:szCs w:val="20"/>
              </w:rPr>
              <w:t>5</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不具备生产经营清真食品条件的单位和个人生产经营清真食品的处罚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《河北省清真食品管理条例》</w:t>
            </w:r>
            <w:r>
              <w:rPr>
                <w:rFonts w:hint="default" w:ascii="仿宋_GB2312" w:hAnsi="仿宋_GB2312"/>
                <w:color w:val="000000"/>
                <w:sz w:val="24"/>
                <w:lang w:val="en-US" w:eastAsia="zh-CN"/>
              </w:rPr>
              <w:t>第六条　生产经营清真食品的单位应当具备下列条件：(一)从业人员中有清真饮食习惯的少数民族人员应占一定比例，具体比例由各设区市人民政府视情况确定；(二)主要管理人员中必须配备有清真饮食习惯的少数民族人员；(三)原料采购、主要烹任、仓库保管等关键岗位必须配备有清真饮食习惯的少数民族人员；(四)清真食品的运输车辆、计量器具、检验工具、储藏容器和加工、出售场地必须专用。</w:t>
            </w:r>
            <w:r>
              <w:rPr>
                <w:rFonts w:hint="eastAsia" w:ascii="仿宋_GB2312" w:hAnsi="仿宋_GB2312"/>
                <w:color w:val="000000"/>
                <w:sz w:val="24"/>
              </w:rPr>
              <w:t>第十七条第二款 </w:t>
            </w:r>
            <w:r>
              <w:rPr>
                <w:rFonts w:hint="default" w:ascii="仿宋_GB2312" w:hAnsi="仿宋_GB2312"/>
                <w:color w:val="000000"/>
                <w:sz w:val="24"/>
              </w:rPr>
              <w:t>违反本条例规定的，由县级以上人民政府民族事务行政主管部门按下列规定给予行政处罚。造成严重影响的，由其所在单位或有关部门给予主要当事人行政处分；构成犯罪的，依法追究刑事责任。</w:t>
            </w:r>
            <w:r>
              <w:rPr>
                <w:rFonts w:hint="eastAsia" w:ascii="仿宋_GB2312" w:hAnsi="仿宋_GB2312"/>
                <w:color w:val="000000"/>
                <w:sz w:val="24"/>
              </w:rPr>
              <w:t>（一）违反本条例第六条规定的，责令限期改正；逾期不改的，吊销清真食品准营证，收回清真标识牌。</w:t>
            </w:r>
          </w:p>
        </w:tc>
        <w:tc>
          <w:tcPr>
            <w:tcW w:w="3045"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接到或者发现此类违法违法案件，应予以审查，决定是否立案。</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对立案的案件，指定专人负责，与当事人有直接利害关系的应当回避。执法人员不得少于两人，调查时应出示执法证件，允许当事人辩解陈述，执法人员应保守有关秘密。</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应当对案件违法事实、证据、调查取证程序、法律适用、处罚种类和幅度、当事人陈述和申辩理由等方面进行审查，提出处理意见。</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在做出行政处罚决定前，应书面告知当事人违法事实及其享有的陈述、申辩、要求听证等权利。</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根据审理情况决定是否予以行政处罚。依法需要给予行政处罚的，应制作《行政处罚决定书》，载明违法事实和证据、处罚依据和内容、申请行政复议或提起行政诉讼的途径和期限等内容。行政处罚案件自立案之日起，应当在3个月内作出处理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行政处罚决定书应在7日内送达当事人。</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监督在决定的期限内，履行生效的行政处罚决定。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其他法律法规规章文件规定应履行的责任。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由区、县民族工作部门会同工商行政管理机关予以制止，给予警告，并对负责人处以200元以下罚款。</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2</w:t>
            </w:r>
            <w:r>
              <w:rPr>
                <w:sz w:val="20"/>
                <w:szCs w:val="20"/>
              </w:rPr>
              <w:t>6</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生产经营清真食品的个人不是有清真饮食习惯的少数民族公民的处罚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《河北省清真食品管理条例》第七条　生产经营清真食品的个人必须是有清真饮食习惯的少数民族公民。第十七条第二款 </w:t>
            </w:r>
            <w:r>
              <w:rPr>
                <w:rFonts w:hint="default" w:ascii="仿宋_GB2312" w:hAnsi="仿宋_GB2312"/>
                <w:color w:val="000000"/>
                <w:sz w:val="24"/>
              </w:rPr>
              <w:t>违反本条例规定的，由县级以上人民政府民族事务行政主管部门按下列规定给予行政处罚。造成严重影响的，由其所在单位或有关部门给予主要当事人行政处分；构成犯罪的，依法追究刑事责任。</w:t>
            </w:r>
            <w:r>
              <w:rPr>
                <w:rFonts w:hint="eastAsia" w:ascii="仿宋_GB2312" w:hAnsi="仿宋_GB2312"/>
                <w:color w:val="000000"/>
                <w:sz w:val="24"/>
              </w:rPr>
              <w:t>（二）违反本条例第七条规定的，责令停业，吊销清真食品准营证，收回清真标识牌并处以三千元以上五千元以下罚款。</w:t>
            </w:r>
          </w:p>
        </w:tc>
        <w:tc>
          <w:tcPr>
            <w:tcW w:w="3045"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接到或者发现此类违法违法案件，应予以审查，决定是否立案。</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对立案的案件，指定专人负责，与当事人有直接利害关系的应当回避。执法人员不得少于两人，调查时应出示执法证件，允许当事人辩解陈述，执法人员应保守有关秘密。</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应当对案件违法事实、证据、调查取证程序、法律适用、处罚种类和幅度、当事人陈述和申辩理由等方面进行审查，提出处理意见。</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在做出行政处罚决定前，应书面告知当事人违法事实及其享有的陈述、申辩、要求听证等权利。</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根据审理情况决定是否予以行政处罚。依法需要给予行政处罚的，应制作《行政处罚决定书》，载明违法事实和证据、处罚依据和内容、申请行政复议或提起行政诉讼的途径和期限等内容。行政处罚案件自立案之日起，应当在3个月内作出处理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行政处罚决定书应在7日内送达当事人。</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监督在决定的期限内，履行生效的行政处罚决定。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其他法律法规规章文件规定应履行的责任。</w:t>
            </w:r>
          </w:p>
        </w:tc>
        <w:tc>
          <w:tcPr>
            <w:tcW w:w="2519" w:type="dxa"/>
            <w:vAlign w:val="center"/>
          </w:tcPr>
          <w:p>
            <w:pPr>
              <w:autoSpaceDN w:val="0"/>
              <w:spacing w:line="300" w:lineRule="exact"/>
              <w:jc w:val="center"/>
              <w:textAlignment w:val="center"/>
              <w:rPr>
                <w:rFonts w:ascii="仿宋_GB2312" w:hAnsi="仿宋_GB2312"/>
                <w:color w:val="000000"/>
                <w:sz w:val="24"/>
              </w:rPr>
            </w:pP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7"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2</w:t>
            </w:r>
            <w:r>
              <w:rPr>
                <w:sz w:val="20"/>
                <w:szCs w:val="20"/>
              </w:rPr>
              <w:t>7</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停业或者易业前未到核发部门办理清真食品准营证注销手续的处罚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《河北省清真食品管理条例》第十七条 </w:t>
            </w:r>
            <w:r>
              <w:rPr>
                <w:rFonts w:hint="default" w:ascii="仿宋_GB2312" w:hAnsi="仿宋_GB2312"/>
                <w:color w:val="000000"/>
                <w:sz w:val="24"/>
              </w:rPr>
              <w:t>违反本条例规定的，由县级以上人民政府民族事务行政主管部门按下列规定给予行政处罚。造成严重影响的，由其所在单位或有关部门给予主要当事人行政处分；构成犯罪的，依法追究刑事责任。</w:t>
            </w:r>
            <w:r>
              <w:rPr>
                <w:rFonts w:hint="eastAsia" w:ascii="仿宋_GB2312" w:hAnsi="仿宋_GB2312"/>
                <w:color w:val="000000"/>
                <w:sz w:val="24"/>
              </w:rPr>
              <w:t>（三）违反本条例第十条、第十二条、第十四条第一款规定的，责令限期改正；逾期不改的，处以五十元以上二百元以下罚款。</w:t>
            </w:r>
          </w:p>
        </w:tc>
        <w:tc>
          <w:tcPr>
            <w:tcW w:w="3045"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接到或者发现此类违法违法案件，应予以审查，决定是否立案。</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对立案的案件，指定专人负责，与当事人有直接利害关系的应当回避。执法人员不得少于两人，调查时应出示执法证件，允许当事人辩解陈述，执法人员应保守有关秘密。</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应当对案件违法事实、证据、调查取证程序、法律适用、处罚种类和幅度、当事人陈述和申辩理由等方面进行审查，提出处理意见。</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在做出行政处罚决定前，应书面告知当事人违法事实及其享有的陈述、申辩、要求听证等权利。</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根据审理情况决定是否予以行政处罚。依法需要给予行政处罚的，应制作《行政处罚决定书》，载明违法事实和证据、处罚依据和内容、申请行政复议或提起行政诉讼的途径和期限等内容。行政处罚案件自立案之日起，应当在3个月内作出处理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行政处罚决定书应在7日内送达当事人。</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监督在决定的期限内，履行生效的行政处罚决定。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其他法律法规规章文件规定应履行的责任。</w:t>
            </w:r>
          </w:p>
        </w:tc>
        <w:tc>
          <w:tcPr>
            <w:tcW w:w="251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责令限期改正；逾期不改的，处以五十元以上二百元以下罚款。</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2</w:t>
            </w:r>
            <w:r>
              <w:rPr>
                <w:sz w:val="20"/>
                <w:szCs w:val="20"/>
              </w:rPr>
              <w:t>8</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生产经营清真食品的单位和个人，不在生产经营场所的显著位置悬挂清真标识牌的处罚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《河北省清真食品管理条例》第十七条 </w:t>
            </w:r>
            <w:r>
              <w:rPr>
                <w:rFonts w:hint="default" w:ascii="仿宋_GB2312" w:hAnsi="仿宋_GB2312"/>
                <w:color w:val="000000"/>
                <w:sz w:val="24"/>
              </w:rPr>
              <w:t>违反本条例规定的，由县级以上人民政府民族事务行政主管部门按下列规定给予行政处罚。造成严重影响的，由其所在单位或有关部门给予主要当事人行政处分；构成犯罪的，依法追究刑事责任。</w:t>
            </w:r>
            <w:r>
              <w:rPr>
                <w:rFonts w:hint="eastAsia" w:ascii="仿宋_GB2312" w:hAnsi="仿宋_GB2312"/>
                <w:color w:val="000000"/>
                <w:sz w:val="24"/>
              </w:rPr>
              <w:t>（三）违反本条例第十条、第十二条、第十四条第一款规定的，责令限期改正；逾期不改的，处以五十元以上二百元以下罚款。</w:t>
            </w:r>
          </w:p>
        </w:tc>
        <w:tc>
          <w:tcPr>
            <w:tcW w:w="3045"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接到或者发现此类违法违法案件，应予以审查，决定是否立案。</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对立案的案件，指定专人负责，与当事人有直接利害关系的应当回避。执法人员不得少于两人，调查时应出示执法证件，允许当事人辩解陈述，执法人员应保守有关秘密。</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应当对案件违法事实、证据、调查取证程序、法律适用、处罚种类和幅度、当事人陈述和申辩理由等方面进行审查，提出处理意见。</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在做出行政处罚决定前，应书面告知当事人违法事实及其享有的陈述、申辩、要求听证等权利。</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根据审理情况决定是否予以行政处罚。依法需要给予行政处罚的，应制作《行政处罚决定书》，载明违法事实和证据、处罚依据和内容、申请行政复议或提起行政诉讼的途径和期限等内容。行政处罚案件自立案之日起，应当在3个月内作出处理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行政处罚决定书应在7日内送达当事人。</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监督在决定的期限内，履行生效的行政处罚决定。</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其他法律法规规章文件规定应履行的责任。</w:t>
            </w:r>
          </w:p>
        </w:tc>
        <w:tc>
          <w:tcPr>
            <w:tcW w:w="251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责令限期改正；逾期不改的，处以五十元以上二百元以下罚款。</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exac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sz w:val="20"/>
                <w:szCs w:val="20"/>
              </w:rPr>
              <w:t>2</w:t>
            </w:r>
            <w:r>
              <w:rPr>
                <w:sz w:val="20"/>
                <w:szCs w:val="20"/>
              </w:rPr>
              <w:t>9</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未经审批私自印制清真食品专用包装物和清真标志的处罚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《河北省清真食品管理条例》第十七条 </w:t>
            </w:r>
            <w:r>
              <w:rPr>
                <w:rFonts w:hint="default" w:ascii="仿宋_GB2312" w:hAnsi="仿宋_GB2312"/>
                <w:color w:val="000000"/>
                <w:sz w:val="24"/>
              </w:rPr>
              <w:t>违反本条例规定的，由县级以上人民政府民族事务行政主管部门按下列规定给予行政处罚。造成严重影响的，由其所在单位或有关部门给予主要当事人行政处分；构成犯罪的，依法追究刑事责任。</w:t>
            </w:r>
            <w:r>
              <w:rPr>
                <w:rFonts w:hint="eastAsia" w:ascii="仿宋_GB2312" w:hAnsi="仿宋_GB2312"/>
                <w:color w:val="000000"/>
                <w:sz w:val="24"/>
              </w:rPr>
              <w:t>（三）违反本条例第十条、第十二条、第十四条第一款规定的，责令限期改正；逾期不改的，处以五十元以上二百元以下罚款。</w:t>
            </w:r>
          </w:p>
        </w:tc>
        <w:tc>
          <w:tcPr>
            <w:tcW w:w="3045"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接到或者发现此类违法违法案件，应予以审查，决定是否立案。</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对立案的案件，指定专人负责，与当事人有直接利害关系的应当回避。执法人员不得少于两人，调查时应出示执法证件，允许当事人辩解陈述，执法人员应保守有关秘密。</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应当对案件违法事实、证据、调查取证程序、法律适用、处罚种类和幅度、当事人陈述和申辩理由等方面进行审查，提出处理意见。</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在做出行政处罚决定前，应书面告知当事人违法事实及其享有的陈述、申辩、要求听证等权利。</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根据审理情况决定是否予以行政处罚。依法需要给予行政处罚的，应制作《行政处罚决定书》，载明违法事实和证据、处罚依据和内容、申请行政复议或提起行政诉讼的途径和期限等内容。行政处罚案件自立案之日起，应当在3个月内作出处理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行政处罚决定书应在7日内送达当事人。</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监督在决定的期限内，履行生效的行政处罚决定。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其他法律法规规章文件规定应履行的责任。</w:t>
            </w:r>
          </w:p>
        </w:tc>
        <w:tc>
          <w:tcPr>
            <w:tcW w:w="2519" w:type="dxa"/>
            <w:vAlign w:val="center"/>
          </w:tcPr>
          <w:p>
            <w:pPr>
              <w:autoSpaceDN w:val="0"/>
              <w:spacing w:line="300" w:lineRule="exact"/>
              <w:jc w:val="center"/>
              <w:textAlignment w:val="center"/>
              <w:rPr>
                <w:rFonts w:hint="eastAsia" w:ascii="仿宋_GB2312" w:hAnsi="仿宋_GB2312"/>
                <w:color w:val="000000"/>
                <w:sz w:val="24"/>
                <w:lang w:val="en-US" w:eastAsia="zh-CN"/>
              </w:rPr>
            </w:pPr>
            <w:r>
              <w:rPr>
                <w:rFonts w:hint="eastAsia" w:ascii="仿宋_GB2312" w:hAnsi="仿宋_GB2312"/>
                <w:color w:val="000000"/>
                <w:sz w:val="24"/>
              </w:rPr>
              <w:t>责令限期改正；逾期不改的，处以五十元以上二百元以下罚款。</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exact"/>
        </w:trPr>
        <w:tc>
          <w:tcPr>
            <w:tcW w:w="752" w:type="dxa"/>
            <w:vAlign w:val="center"/>
          </w:tcPr>
          <w:p>
            <w:pPr>
              <w:autoSpaceDN w:val="0"/>
              <w:spacing w:line="300" w:lineRule="exact"/>
              <w:jc w:val="center"/>
              <w:textAlignment w:val="center"/>
              <w:rPr>
                <w:sz w:val="20"/>
                <w:szCs w:val="20"/>
              </w:rPr>
            </w:pPr>
            <w:r>
              <w:rPr>
                <w:sz w:val="20"/>
                <w:szCs w:val="20"/>
              </w:rPr>
              <w:t>30</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出租、转让、倒卖、私自制作清真食品准营证或将清真食品专用包装物用于非清真食品的处罚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《河北省清真食品管理条例》第十七条 </w:t>
            </w:r>
            <w:r>
              <w:rPr>
                <w:rFonts w:hint="default" w:ascii="仿宋_GB2312" w:hAnsi="仿宋_GB2312"/>
                <w:color w:val="000000"/>
                <w:sz w:val="24"/>
              </w:rPr>
              <w:t>违反本条例规定的，由县级以上人民政府民族事务行政主管部门按下列规定给予行政处罚。造成严重影响的，由其所在单位或有关部门给予主要当事人行政处分；构成犯罪的，依法追究刑事责任。</w:t>
            </w:r>
            <w:r>
              <w:rPr>
                <w:rFonts w:hint="eastAsia" w:ascii="仿宋_GB2312" w:hAnsi="仿宋_GB2312"/>
                <w:color w:val="000000"/>
                <w:sz w:val="24"/>
              </w:rPr>
              <w:t>（四）违反本条例第九条第二款、第十四条第二款规定的，没收非法所得，情节较轻的，处以一千元以上三千元以下罚款；情节严重的处三千元以上一万元以下罚款。</w:t>
            </w:r>
          </w:p>
        </w:tc>
        <w:tc>
          <w:tcPr>
            <w:tcW w:w="3045"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接到或者发现此类违法违法案件，应予以审查，决定是否立案。</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对立案的案件，指定专人负责，与当事人有直接利害关系的应当回避。执法人员不得少于两人，调查时应出示执法证件，允许当事人辩解陈述，执法人员应保守有关秘密。</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应当对案件违法事实、证据、调查取证程序、法律适用、处罚种类和幅度、当事人陈述和申辩理由等方面进行审查，提出处理意见。</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在做出行政处罚决定前，应书面告知当事人违法事实及其享有的陈述、申辩、要求听证等权利。</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根据审理情况决定是否予以行政处罚。依法需要给予行政处罚的，应制作《行政处罚决定书》，载明违法事实和证据、处罚依据和内容、申请行政复议或提起行政诉讼的途径和期限等内容。行政处罚案件自立案之日起，应当在3个月内作出处理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行政处罚决定书应在7日内送达当事人。</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监督在决定的期限内，履行生效的行政处罚决定。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其他法律法规规章文件规定应履行的责任。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没收非法所得，情节较轻的，处以一千元以上三千元以下罚款；情节严重的处三千元以上一万元以下罚款。</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2" w:hRule="exact"/>
        </w:trPr>
        <w:tc>
          <w:tcPr>
            <w:tcW w:w="752" w:type="dxa"/>
            <w:vAlign w:val="center"/>
          </w:tcPr>
          <w:p>
            <w:pPr>
              <w:autoSpaceDN w:val="0"/>
              <w:spacing w:line="300" w:lineRule="exact"/>
              <w:jc w:val="center"/>
              <w:textAlignment w:val="center"/>
              <w:rPr>
                <w:sz w:val="20"/>
                <w:szCs w:val="20"/>
              </w:rPr>
            </w:pPr>
            <w:r>
              <w:rPr>
                <w:sz w:val="20"/>
                <w:szCs w:val="20"/>
              </w:rPr>
              <w:t>31</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未取得清真食品准营证的企业和个人，生产经营清真食品的处罚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《河北省清真食品管理条例》第十七条 </w:t>
            </w:r>
            <w:r>
              <w:rPr>
                <w:rFonts w:hint="default" w:ascii="仿宋_GB2312" w:hAnsi="仿宋_GB2312"/>
                <w:color w:val="000000"/>
                <w:sz w:val="24"/>
              </w:rPr>
              <w:t>违反本条例规定的，由县级以上人民政府民族事务行政主管部门按下列规定给予行政处罚。造成严重影响的，由其所在单位或有关部门给予主要当事人行政处分；构成犯罪的，依法追究刑事责任。</w:t>
            </w:r>
            <w:r>
              <w:rPr>
                <w:rFonts w:hint="eastAsia" w:ascii="仿宋_GB2312" w:hAnsi="仿宋_GB2312"/>
                <w:color w:val="000000"/>
                <w:sz w:val="24"/>
              </w:rPr>
              <w:t>（五）违反本条例第八条第二款规定，未取得清真食品准营证而生产经营清真食品的，责令限期改正，并处以二千元以上五千元以下罚款。</w:t>
            </w:r>
          </w:p>
        </w:tc>
        <w:tc>
          <w:tcPr>
            <w:tcW w:w="3045"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接到或者发现此类违法违法案件，应予以审查，决定是否立案。</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对立案的案件，指定专人负责，与当事人有直接利害关系的应当回避。执法人员不得少于两人，调查时应出示执法证件，允许当事人辩解陈述，执法人员应保守有关秘密。</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应当对案件违法事实、证据、调查取证程序、法律适用、处罚种类和幅度、当事人陈述和申辩理由等方面进行审查，提出处理意见。</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在做出行政处罚决定前，应书面告知当事人违法事实及其享有的陈述、申辩、要求听证等权利。</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根据审理情况决定是否予以行政处罚。依法需要给予行政处罚的，应制作《行政处罚决定书》，载明违法事实和证据、处罚依据和内容、申请行政复议或提起行政诉讼的途径和期限等内容。行政处罚案件自立案之日起，应当在3个月内作出处理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行政处罚决定书应在7日内送达当事人。</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监督在决定的期限内，履行生效的行政处罚决定。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其他法律法规规章文件规定应履行的责任。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未取得清真食品准营证而生产经营清真食品的，责令限期改正，并处以二千元以上五千元以下罚款。</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7" w:hRule="exact"/>
        </w:trPr>
        <w:tc>
          <w:tcPr>
            <w:tcW w:w="752" w:type="dxa"/>
            <w:vAlign w:val="center"/>
          </w:tcPr>
          <w:p>
            <w:pPr>
              <w:autoSpaceDN w:val="0"/>
              <w:spacing w:line="300" w:lineRule="exact"/>
              <w:jc w:val="center"/>
              <w:textAlignment w:val="center"/>
              <w:rPr>
                <w:sz w:val="20"/>
                <w:szCs w:val="20"/>
              </w:rPr>
            </w:pPr>
            <w:r>
              <w:rPr>
                <w:rFonts w:hint="eastAsia"/>
                <w:sz w:val="20"/>
                <w:szCs w:val="20"/>
              </w:rPr>
              <w:t>3</w:t>
            </w:r>
            <w:r>
              <w:rPr>
                <w:sz w:val="20"/>
                <w:szCs w:val="20"/>
              </w:rPr>
              <w:t>2</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生产经营清真食品的单位和个人，生产经营有清真饮食习惯少数民族禁食的食品，制售假冒伪劣清真食品的处罚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《河北省清真食品管理条例》第十七条 </w:t>
            </w:r>
            <w:r>
              <w:rPr>
                <w:rFonts w:hint="default" w:ascii="仿宋_GB2312" w:hAnsi="仿宋_GB2312"/>
                <w:color w:val="000000"/>
                <w:sz w:val="24"/>
              </w:rPr>
              <w:t>违反本条例规定的，由县级以上人民政府民族事务行政主管部门按下列规定给予行政处罚。造成严重影响的，由其所在单位或有关部门给予主要当事人行政处分；构成犯罪的，依法追究刑事责任。</w:t>
            </w:r>
            <w:r>
              <w:rPr>
                <w:rFonts w:hint="eastAsia" w:ascii="仿宋_GB2312" w:hAnsi="仿宋_GB2312"/>
                <w:color w:val="000000"/>
                <w:sz w:val="24"/>
              </w:rPr>
              <w:t>（六）违反本条例第十一条规定的，责令限期停业整顿，并处以五千元以上一万元以下罚款；逾期不改的，吊销清真食品准营证，收回清真标识牌。</w:t>
            </w:r>
          </w:p>
        </w:tc>
        <w:tc>
          <w:tcPr>
            <w:tcW w:w="3045"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接到或者发现此类违法违法案件，应予以审查，决定是否立案。</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对立案的案件，指定专人负责，与当事人有直接利害关系的应当回避。执法人员不得少于两人，调查时应出示执法证件，允许当事人辩解陈述，执法人员应保守有关秘密。</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应当对案件违法事实、证据、调查取证程序、法律适用、处罚种类和幅度、当事人陈述和申辩理由等方面进行审查，提出处理意见。</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在做出行政处罚决定前，应书面告知当事人违法事实及其享有的陈述、申辩、要求听证等权利。</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根据审理情况决定是否予以行政处罚。依法需要给予行政处罚的，应制作《行政处罚决定书》，载明违法事实和证据、处罚依据和内容、申请行政复议或提起行政诉讼的途径和期限等内容。行政处罚案件自立案之日起，应当在3个月内作出处理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行政处罚决定书应在7日内送达当事人。</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监督在决定的期限内，履行生效的行政处罚决定。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其他法律法规规章文件规定应履行的责任。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责令限期停业整顿，并处以五千元以上一万元以下罚款；逾期不改的，吊销清真食品准营证，收回清真标识牌。</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7" w:hRule="exact"/>
        </w:trPr>
        <w:tc>
          <w:tcPr>
            <w:tcW w:w="752" w:type="dxa"/>
            <w:vAlign w:val="center"/>
          </w:tcPr>
          <w:p>
            <w:pPr>
              <w:autoSpaceDN w:val="0"/>
              <w:spacing w:line="300" w:lineRule="exact"/>
              <w:jc w:val="center"/>
              <w:textAlignment w:val="center"/>
              <w:rPr>
                <w:sz w:val="20"/>
                <w:szCs w:val="20"/>
              </w:rPr>
            </w:pPr>
            <w:r>
              <w:rPr>
                <w:rFonts w:hint="eastAsia"/>
                <w:sz w:val="20"/>
                <w:szCs w:val="20"/>
              </w:rPr>
              <w:t>3</w:t>
            </w:r>
            <w:r>
              <w:rPr>
                <w:sz w:val="20"/>
                <w:szCs w:val="20"/>
              </w:rPr>
              <w:t>3</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生产经营清真食品单位的字号、食品名称、专用包装物、广告用语或图像，含有有清真饮食习惯少数民族忌讳内容的处罚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《河北省清真食品管理条例》第十七条 </w:t>
            </w:r>
            <w:r>
              <w:rPr>
                <w:rFonts w:hint="default" w:ascii="仿宋_GB2312" w:hAnsi="仿宋_GB2312"/>
                <w:color w:val="000000"/>
                <w:sz w:val="24"/>
              </w:rPr>
              <w:t>违反本条例规定的，由县级以上人民政府民族事务行政主管部门按下列规定给予行政处罚。造成严重影响的，由其所在单位或有关部门给予主要当事人行政处分；构成犯罪的，依法追究刑事责任。</w:t>
            </w:r>
            <w:r>
              <w:rPr>
                <w:rFonts w:hint="eastAsia" w:ascii="仿宋_GB2312" w:hAnsi="仿宋_GB2312"/>
                <w:color w:val="000000"/>
                <w:sz w:val="24"/>
              </w:rPr>
              <w:t>（七）违反本条例第十五条规定的，责令限期改正；逾期不改的，处以五百元以上一千元以下罚款。</w:t>
            </w:r>
          </w:p>
        </w:tc>
        <w:tc>
          <w:tcPr>
            <w:tcW w:w="3045"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接到或者发现此类违法违法案件，应予以审查，决定是否立案。</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对立案的案件，指定专人负责，与当事人有直接利害关系的应当回避。执法人员不得少于两人，调查时应出示执法证件，允许当事人辩解陈述，执法人员应保守有关秘密。</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应当对案件违法事实、证据、调查取证程序、法律适用、处罚种类和幅度、当事人陈述和申辩理由等方面进行审查，提出处理意见。</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在做出行政处罚决定前，应书面告知当事人违法事实及其享有的陈述、申辩、要求听证等权利。</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根据审理情况决定是否予以行政处罚。依法需要给予行政处罚的，应制作《行政处罚决定书》，载明违法事实和证据、处罚依据和内容、申请行政复议或提起行政诉讼的途径和期限等内容。行政处罚案件自立案之日起，应当在3个月内作出处理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行政处罚决定书应在7日内送达当事人。</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监督在决定的期限内，履行生效的行政处罚决定。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其他法律法规规章文件规定应履行的责任。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责令限期改正；逾期不改的，处以五百元以上一千元以下罚款。</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2" w:hRule="exact"/>
        </w:trPr>
        <w:tc>
          <w:tcPr>
            <w:tcW w:w="752" w:type="dxa"/>
            <w:vAlign w:val="center"/>
          </w:tcPr>
          <w:p>
            <w:pPr>
              <w:autoSpaceDN w:val="0"/>
              <w:spacing w:line="300" w:lineRule="exact"/>
              <w:jc w:val="center"/>
              <w:textAlignment w:val="center"/>
              <w:rPr>
                <w:sz w:val="20"/>
                <w:szCs w:val="20"/>
              </w:rPr>
            </w:pPr>
            <w:r>
              <w:rPr>
                <w:rFonts w:hint="eastAsia"/>
                <w:sz w:val="20"/>
                <w:szCs w:val="20"/>
              </w:rPr>
              <w:t>3</w:t>
            </w:r>
            <w:r>
              <w:rPr>
                <w:sz w:val="20"/>
                <w:szCs w:val="20"/>
              </w:rPr>
              <w:t>4</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行政处罚</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生产经营清真食品的单位和个人未按有清真饮食习惯少数民族风俗屠宰加工清真牛羊肉、禽肉的处罚</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《河北省清真食品管理条例》第十七条 </w:t>
            </w:r>
            <w:r>
              <w:rPr>
                <w:rFonts w:hint="default" w:ascii="仿宋_GB2312" w:hAnsi="仿宋_GB2312"/>
                <w:color w:val="000000"/>
                <w:sz w:val="24"/>
              </w:rPr>
              <w:t>违反本条例规定的，由县级以上人民政府民族事务行政主管部门按下列规定给予行政处罚。造成严重影响的，由其所在单位或有关部门给予主要当事人行政处分；构成犯罪的，依法追究刑事责任。</w:t>
            </w:r>
            <w:r>
              <w:rPr>
                <w:rFonts w:hint="eastAsia" w:ascii="仿宋_GB2312" w:hAnsi="仿宋_GB2312"/>
                <w:color w:val="000000"/>
                <w:sz w:val="24"/>
              </w:rPr>
              <w:t>（八）生产经营清真食品的单位和个人未按有清真饮食习惯少数民族的风俗屠宰加工清真牛羊肉、禽肉的，责令限期停业整顿，没收非法所得，并处以一千元以上五千元以下罚款；逾期不改的，吊销清真食品准营证，收回清真标识牌。</w:t>
            </w:r>
          </w:p>
        </w:tc>
        <w:tc>
          <w:tcPr>
            <w:tcW w:w="3045"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接到或者发现此类违法违法案件，应予以审查，决定是否立案。</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对立案的案件，指定专人负责，与当事人有直接利害关系的应当回避。执法人员不得少于两人，调查时应出示执法证件，允许当事人辩解陈述，执法人员应保守有关秘密。</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应当对案件违法事实、证据、调查取证程序、法律适用、处罚种类和幅度、当事人陈述和申辩理由等方面进行审查，提出处理意见。</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在做出行政处罚决定前，应书面告知当事人违法事实及其享有的陈述、申辩、要求听证等权利。</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根据审理情况决定是否予以行政处罚。依法需要给予行政处罚的，应制作《行政处罚决定书》，载明违法事实和证据、处罚依据和内容、申请行政复议或提起行政诉讼的途径和期限等内容。行政处罚案件自立案之日起，应当在3个月内作出处理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行政处罚决定书应在7日内送达当事人。</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监督在决定的期限内，履行生效的行政处罚决定。</w:t>
            </w:r>
          </w:p>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其他法律法规规章文件规定应履行的责任。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责令限期停业整顿，没收非法所得，并处以一千元以上五千元以下罚款；逾期不改的，吊销清真食品准营证，收回清真标识牌。</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7" w:hRule="exact"/>
        </w:trPr>
        <w:tc>
          <w:tcPr>
            <w:tcW w:w="752" w:type="dxa"/>
            <w:vAlign w:val="center"/>
          </w:tcPr>
          <w:p>
            <w:pPr>
              <w:autoSpaceDN w:val="0"/>
              <w:spacing w:line="300" w:lineRule="exact"/>
              <w:jc w:val="center"/>
              <w:textAlignment w:val="center"/>
              <w:rPr>
                <w:sz w:val="20"/>
                <w:szCs w:val="20"/>
              </w:rPr>
            </w:pPr>
            <w:r>
              <w:rPr>
                <w:rFonts w:hint="eastAsia"/>
                <w:sz w:val="20"/>
                <w:szCs w:val="20"/>
              </w:rPr>
              <w:t>3</w:t>
            </w:r>
            <w:r>
              <w:rPr>
                <w:sz w:val="20"/>
                <w:szCs w:val="20"/>
              </w:rPr>
              <w:t>5</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行政确认</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宗教教职人员身份认定的备案</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宗教教职人员身份认定的备案</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1.受理责任：公示法定应当提交的材料；一次性告知补齐材料；依法受理或不予受理申请（不予受理的说明理由）。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2.审查责任：对申请人提交的申请材料进行审查，提出审查意见。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3.决定责任：在规定期限内作出书面决定（不予许可应说明理由）。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4.送达责任：在规定期限内制定并向申请人送达法律证件。</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5.事中事后责任：建立健全事中事后监管措施，加强监管。</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  6.法律法规规章文件规定应履行的其他责任。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县级人民政府宗教事务部门应当自收到申请之日起30日内对该宗教活动场所的管理组织、规章制度建设等情况进行审核，对符合条件的予以登记，发给《宗教活动场所登记证》。第二十四条　宗教活动场所终止或者变更登记内容的，应当到原登记管理机关办理相应的注销或者变更登记手续。</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exact"/>
        </w:trPr>
        <w:tc>
          <w:tcPr>
            <w:tcW w:w="752" w:type="dxa"/>
            <w:vAlign w:val="center"/>
          </w:tcPr>
          <w:p>
            <w:pPr>
              <w:autoSpaceDN w:val="0"/>
              <w:spacing w:line="300" w:lineRule="exact"/>
              <w:jc w:val="center"/>
              <w:textAlignment w:val="center"/>
              <w:rPr>
                <w:sz w:val="20"/>
                <w:szCs w:val="20"/>
              </w:rPr>
            </w:pPr>
            <w:r>
              <w:rPr>
                <w:rFonts w:hint="eastAsia"/>
                <w:sz w:val="20"/>
                <w:szCs w:val="20"/>
              </w:rPr>
              <w:t>3</w:t>
            </w:r>
            <w:r>
              <w:rPr>
                <w:sz w:val="20"/>
                <w:szCs w:val="20"/>
              </w:rPr>
              <w:t>6</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行政确认</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宗教活动场所管理组织成员的备案</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宗教活动场所管理组织成员的备案</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1.受理责任：公示法定应当提交的材料；一次性告知补齐材料；依法受理或不予受理申请（不予受理的说明理由）。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2.审查责任：对申请人提交的申请材料进行审查，提出审查意见。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3.决定责任：在规定期限内作出书面决定（不予许可应说明理由）。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4.送达责任：在规定期限内制定并向申请人送达法律证件。</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5.事中事后责任：建立健全事中事后监管措施，加强监管。</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  6.法律法规规章文件规定应履行的其他责任。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default" w:ascii="仿宋_GB2312" w:hAnsi="仿宋_GB2312"/>
                <w:color w:val="000000"/>
                <w:sz w:val="24"/>
                <w:lang w:val="en-US" w:eastAsia="zh-CN"/>
              </w:rPr>
              <w:t>宗教教职人员经宗教团体认定，报县级以上人民政府宗教事务部门备案，可以从事宗教教务活动。</w:t>
            </w:r>
          </w:p>
          <w:p>
            <w:pPr>
              <w:autoSpaceDN w:val="0"/>
              <w:spacing w:line="300" w:lineRule="exact"/>
              <w:jc w:val="center"/>
              <w:textAlignment w:val="center"/>
              <w:rPr>
                <w:rFonts w:hint="default" w:ascii="仿宋_GB2312" w:hAnsi="仿宋_GB2312"/>
                <w:color w:val="000000"/>
                <w:sz w:val="24"/>
              </w:rPr>
            </w:pPr>
            <w:r>
              <w:rPr>
                <w:rFonts w:hint="default" w:ascii="仿宋_GB2312" w:hAnsi="仿宋_GB2312"/>
                <w:color w:val="000000"/>
                <w:sz w:val="24"/>
                <w:lang w:val="en-US" w:eastAsia="zh-CN"/>
              </w:rPr>
              <w:t>藏传佛教活佛传承继位，在佛教团体的指导下，依照宗教仪轨和历史定制办理，报省级以上人民政府宗教事务部门或者省级以上人民政府批准。天主教的主教由天主教的全国性宗教团体报国务院宗教事务部门备案。</w:t>
            </w:r>
          </w:p>
          <w:p>
            <w:pPr>
              <w:autoSpaceDN w:val="0"/>
              <w:spacing w:line="300" w:lineRule="exact"/>
              <w:jc w:val="center"/>
              <w:textAlignment w:val="center"/>
              <w:rPr>
                <w:rFonts w:hint="eastAsia" w:ascii="仿宋_GB2312" w:hAnsi="仿宋_GB2312"/>
                <w:color w:val="000000"/>
                <w:sz w:val="24"/>
              </w:rPr>
            </w:pP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exact"/>
        </w:trPr>
        <w:tc>
          <w:tcPr>
            <w:tcW w:w="752" w:type="dxa"/>
            <w:vAlign w:val="center"/>
          </w:tcPr>
          <w:p>
            <w:pPr>
              <w:autoSpaceDN w:val="0"/>
              <w:spacing w:line="300" w:lineRule="exact"/>
              <w:jc w:val="center"/>
              <w:textAlignment w:val="center"/>
              <w:rPr>
                <w:sz w:val="20"/>
                <w:szCs w:val="20"/>
              </w:rPr>
            </w:pPr>
            <w:r>
              <w:rPr>
                <w:rFonts w:hint="eastAsia"/>
                <w:sz w:val="20"/>
                <w:szCs w:val="20"/>
              </w:rPr>
              <w:t>3</w:t>
            </w:r>
            <w:r>
              <w:rPr>
                <w:sz w:val="20"/>
                <w:szCs w:val="20"/>
              </w:rPr>
              <w:t>7</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行政确认</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宗教教职人员担任或者离任的备案</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宗教教职人员担任或者离任的备案</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1.受理责任：公示法定应当提交的材料；一次性告知补齐材料；依法受理或不予受理申请（不予受理的说明理由）。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2.审查责任：对申请人提交的申请材料进行审查，提出审查意见。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3.决定责任：在规定期限内作出书面决定（不予许可应说明理由）。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4.送达责任：在规定期限内制定并向申请人送达法律证件。</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5.事中事后责任：建立健全事中事后监管措施，加强监管。</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  6.法律法规规章文件规定应履行的其他责任。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第二十二条县级人民政府宗教事务部门应当自收到申请之日起30日内对该宗教活动场所的管理组织、规章制度建设等情况进行审核，对符合条件的予以登记，发给《宗教活动场所登记证》。第二十四条　宗教活动场所终止或者变更登记内容的，应当到原登记管理机关办理相应的注销或者变更登记手续。</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exact"/>
        </w:trPr>
        <w:tc>
          <w:tcPr>
            <w:tcW w:w="752" w:type="dxa"/>
            <w:vAlign w:val="center"/>
          </w:tcPr>
          <w:p>
            <w:pPr>
              <w:autoSpaceDN w:val="0"/>
              <w:spacing w:line="300" w:lineRule="exact"/>
              <w:jc w:val="center"/>
              <w:textAlignment w:val="center"/>
              <w:rPr>
                <w:sz w:val="20"/>
                <w:szCs w:val="20"/>
              </w:rPr>
            </w:pPr>
            <w:r>
              <w:rPr>
                <w:rFonts w:hint="eastAsia"/>
                <w:sz w:val="20"/>
                <w:szCs w:val="20"/>
              </w:rPr>
              <w:t>3</w:t>
            </w:r>
            <w:r>
              <w:rPr>
                <w:sz w:val="20"/>
                <w:szCs w:val="20"/>
              </w:rPr>
              <w:t>8</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行政确认</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宗教团体负责人审批</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宗教团体负责人审批</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1.受理责任：公示法定应当提交的材料；一次性告知补齐材料；依法受理或不予受理申请（不予受理的说明理由）。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2.审查责任：对申请人提交的申请材料进行审查，提出审查意见。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3.决定责任：在规定期限内作出书面决定（不予许可应说明理由）。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4.送达责任：在规定期限内制定并向申请人送达法律证件。</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5.事中事后责任：建立健全事中事后监管措施，加强监管。</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  6.法律法规规章文件规定应履行的其他责任。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第二十二条县级人民政府宗教事务部门应当自收到申请之日起30日内对该宗教活动场所的管理组织、规章制度建设等情况进行审核，对符合条件的予以登记，发给《宗教活动场所登记证》。第二十四条　宗教活动场所终止或者变更登记内容的，应当到原登记管理机关办理相应的注销或者变更登记手续。</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exact"/>
        </w:trPr>
        <w:tc>
          <w:tcPr>
            <w:tcW w:w="752" w:type="dxa"/>
            <w:vAlign w:val="center"/>
          </w:tcPr>
          <w:p>
            <w:pPr>
              <w:autoSpaceDN w:val="0"/>
              <w:spacing w:line="300" w:lineRule="exact"/>
              <w:jc w:val="center"/>
              <w:textAlignment w:val="center"/>
              <w:rPr>
                <w:sz w:val="20"/>
                <w:szCs w:val="20"/>
              </w:rPr>
            </w:pPr>
            <w:r>
              <w:rPr>
                <w:rFonts w:hint="eastAsia"/>
                <w:sz w:val="20"/>
                <w:szCs w:val="20"/>
              </w:rPr>
              <w:t>3</w:t>
            </w:r>
            <w:r>
              <w:rPr>
                <w:sz w:val="20"/>
                <w:szCs w:val="20"/>
              </w:rPr>
              <w:t>9</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行政确认</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地方性宗教团体、宗教活动场所接受国（境）外捐款、捐赠审批</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地方性宗教团体、宗教活动场所接受国（境）外捐款、捐赠审批</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1.受理责任：公示法定应当提交的材料；一次性告知补齐材料；依法受理或不予受理申请（不予受理的说明理由）。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2.审查责任：对申请人提交的申请材料进行审查，提出审查意见。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3.决定责任：在规定期限内作出书面决定（不予许可应说明理由）。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4.送达责任：在规定期限内制定并向申请人送达法律证件。</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5.事中事后责任：建立健全事中事后监管措施，加强监管。</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  6.法律法规规章文件规定应履行的其他责任。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宗教事务条例》第二十二条县级人民政府宗教事务部门应当自收到申请之日起30日内对该宗教活动场所的管理组织、规章制度建设等情况进行审核，对符合条件的予以登记，发给《宗教活动场所登记证》。第二十四条　宗教活动场所终止或者变更登记内容的，应当到原登记管理机关办理相应的注销或者变更登记手续。</w:t>
            </w:r>
          </w:p>
        </w:tc>
        <w:tc>
          <w:tcPr>
            <w:tcW w:w="990" w:type="dxa"/>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exact"/>
        </w:trPr>
        <w:tc>
          <w:tcPr>
            <w:tcW w:w="752" w:type="dxa"/>
            <w:vAlign w:val="center"/>
          </w:tcPr>
          <w:p>
            <w:pPr>
              <w:autoSpaceDN w:val="0"/>
              <w:spacing w:line="300" w:lineRule="exact"/>
              <w:jc w:val="center"/>
              <w:textAlignment w:val="center"/>
              <w:rPr>
                <w:sz w:val="20"/>
                <w:szCs w:val="20"/>
              </w:rPr>
            </w:pPr>
            <w:r>
              <w:rPr>
                <w:sz w:val="20"/>
                <w:szCs w:val="20"/>
              </w:rPr>
              <w:t>40</w:t>
            </w:r>
          </w:p>
        </w:tc>
        <w:tc>
          <w:tcPr>
            <w:tcW w:w="774"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其他</w:t>
            </w:r>
          </w:p>
        </w:tc>
        <w:tc>
          <w:tcPr>
            <w:tcW w:w="1549"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公民民族成份变更审批</w:t>
            </w:r>
          </w:p>
        </w:tc>
        <w:tc>
          <w:tcPr>
            <w:tcW w:w="1140"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民族宗教事务局</w:t>
            </w:r>
          </w:p>
        </w:tc>
        <w:tc>
          <w:tcPr>
            <w:tcW w:w="3046"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《中国公民民族成份登记管理办法》第十一条</w:t>
            </w:r>
          </w:p>
        </w:tc>
        <w:tc>
          <w:tcPr>
            <w:tcW w:w="3045" w:type="dxa"/>
            <w:vAlign w:val="center"/>
          </w:tcPr>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1.受理责任：公示法定应当提交的材料；一次性告知补齐材料；依法受理或不予受理申请（不予受理的说明理由）。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2.审查责任：对申请人提交的申请材料进行审查，提出审查意见。</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3.决定责任：在规定期限内作出书面决定（不予许可应说明理由）。</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4.送达责任：在规定期限内制定并向申请人送达法律证件。</w:t>
            </w:r>
          </w:p>
          <w:p>
            <w:pPr>
              <w:autoSpaceDN w:val="0"/>
              <w:spacing w:line="300" w:lineRule="exact"/>
              <w:jc w:val="center"/>
              <w:textAlignment w:val="center"/>
              <w:rPr>
                <w:rFonts w:hint="eastAsia" w:ascii="仿宋_GB2312" w:hAnsi="仿宋_GB2312" w:eastAsia="仿宋_GB2312"/>
                <w:color w:val="000000"/>
                <w:sz w:val="24"/>
                <w:lang w:eastAsia="zh-CN"/>
              </w:rPr>
            </w:pPr>
            <w:r>
              <w:rPr>
                <w:rFonts w:hint="eastAsia" w:ascii="仿宋_GB2312" w:hAnsi="仿宋_GB2312"/>
                <w:color w:val="000000"/>
                <w:sz w:val="24"/>
              </w:rPr>
              <w:t>  5.事中事后责任：建立健全事中事后监管措施，加强监管。</w:t>
            </w:r>
          </w:p>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  6.法律法规规章文件规定应履行的其他责任。</w:t>
            </w:r>
          </w:p>
        </w:tc>
        <w:tc>
          <w:tcPr>
            <w:tcW w:w="2519" w:type="dxa"/>
            <w:vAlign w:val="center"/>
          </w:tcPr>
          <w:p>
            <w:pPr>
              <w:autoSpaceDN w:val="0"/>
              <w:spacing w:line="300" w:lineRule="exact"/>
              <w:jc w:val="center"/>
              <w:textAlignment w:val="center"/>
              <w:rPr>
                <w:rFonts w:hint="eastAsia" w:ascii="仿宋_GB2312" w:hAnsi="仿宋_GB2312"/>
                <w:color w:val="000000"/>
                <w:sz w:val="24"/>
                <w:lang w:val="en-US" w:eastAsia="zh-CN"/>
              </w:rPr>
            </w:pPr>
            <w:r>
              <w:rPr>
                <w:rFonts w:hint="eastAsia" w:ascii="仿宋_GB2312" w:hAnsi="仿宋_GB2312"/>
                <w:color w:val="000000"/>
                <w:sz w:val="24"/>
                <w:lang w:val="en-US" w:eastAsia="zh-CN"/>
              </w:rPr>
              <w:t>《中国公民民族成份登记管理办法》(2015发布)（国家民委、公安部令第2号）第十一条申请变更民族成份，按照下列程序办理：</w:t>
            </w:r>
          </w:p>
          <w:p>
            <w:pPr>
              <w:autoSpaceDN w:val="0"/>
              <w:spacing w:line="300" w:lineRule="exact"/>
              <w:jc w:val="center"/>
              <w:textAlignment w:val="center"/>
              <w:rPr>
                <w:rFonts w:hint="eastAsia" w:ascii="仿宋_GB2312" w:hAnsi="仿宋_GB2312"/>
                <w:color w:val="000000"/>
                <w:sz w:val="24"/>
                <w:lang w:val="en-US" w:eastAsia="zh-CN"/>
              </w:rPr>
            </w:pPr>
            <w:r>
              <w:rPr>
                <w:rFonts w:hint="eastAsia" w:ascii="仿宋_GB2312" w:hAnsi="仿宋_GB2312"/>
                <w:color w:val="000000"/>
                <w:sz w:val="24"/>
                <w:lang w:val="en-US" w:eastAsia="zh-CN"/>
              </w:rPr>
              <w:t>　　（一）申请人向户籍所在地的县级人民政府民族事务部门提出申请；</w:t>
            </w:r>
          </w:p>
          <w:p>
            <w:pPr>
              <w:autoSpaceDN w:val="0"/>
              <w:spacing w:line="300" w:lineRule="exact"/>
              <w:jc w:val="center"/>
              <w:textAlignment w:val="center"/>
              <w:rPr>
                <w:rFonts w:hint="eastAsia" w:ascii="仿宋_GB2312" w:hAnsi="仿宋_GB2312"/>
                <w:color w:val="000000"/>
                <w:sz w:val="24"/>
                <w:lang w:val="en-US" w:eastAsia="zh-CN"/>
              </w:rPr>
            </w:pPr>
            <w:r>
              <w:rPr>
                <w:rFonts w:hint="eastAsia" w:ascii="仿宋_GB2312" w:hAnsi="仿宋_GB2312"/>
                <w:color w:val="000000"/>
                <w:sz w:val="24"/>
                <w:lang w:val="en-US" w:eastAsia="zh-CN"/>
              </w:rPr>
              <w:t>　　（二）县级人民政府民族事务部门对变更申请提出初审意见，对不符合条件的申请予以退回，并书面说明不予受理的理由；对符合条件的申请，自受理之日起的十个工作日内报上一级人民政府民族事务部门审批。</w:t>
            </w:r>
          </w:p>
          <w:p>
            <w:pPr>
              <w:autoSpaceDN w:val="0"/>
              <w:spacing w:line="300" w:lineRule="exact"/>
              <w:jc w:val="center"/>
              <w:textAlignment w:val="center"/>
              <w:rPr>
                <w:rFonts w:hint="eastAsia" w:ascii="仿宋_GB2312" w:hAnsi="仿宋_GB2312"/>
                <w:color w:val="000000"/>
                <w:sz w:val="24"/>
                <w:lang w:val="en-US" w:eastAsia="zh-CN"/>
              </w:rPr>
            </w:pPr>
            <w:r>
              <w:rPr>
                <w:rFonts w:hint="eastAsia" w:ascii="仿宋_GB2312" w:hAnsi="仿宋_GB2312"/>
                <w:color w:val="000000"/>
                <w:sz w:val="24"/>
                <w:lang w:val="en-US" w:eastAsia="zh-CN"/>
              </w:rPr>
              <w:t>　　对于十个工作日内不能提出初审意见的，经县级人民政府民族事务部门负责人批准，可以延长十个工作日；</w:t>
            </w:r>
          </w:p>
          <w:p>
            <w:pPr>
              <w:autoSpaceDN w:val="0"/>
              <w:spacing w:line="300" w:lineRule="exact"/>
              <w:jc w:val="center"/>
              <w:textAlignment w:val="center"/>
              <w:rPr>
                <w:rFonts w:hint="eastAsia" w:ascii="仿宋_GB2312" w:hAnsi="仿宋_GB2312"/>
                <w:color w:val="000000"/>
                <w:sz w:val="24"/>
                <w:lang w:val="en-US" w:eastAsia="zh-CN"/>
              </w:rPr>
            </w:pPr>
            <w:r>
              <w:rPr>
                <w:rFonts w:hint="eastAsia" w:ascii="仿宋_GB2312" w:hAnsi="仿宋_GB2312"/>
                <w:color w:val="000000"/>
                <w:sz w:val="24"/>
                <w:lang w:val="en-US" w:eastAsia="zh-CN"/>
              </w:rPr>
              <w:t>　　（三）上一级人民政府民族事务部门应当在收到审批申请之日起的十个工作日内，出具书面审批意见，并反馈给县级人民政府民族事务部门；</w:t>
            </w:r>
          </w:p>
          <w:p>
            <w:pPr>
              <w:autoSpaceDN w:val="0"/>
              <w:spacing w:line="300" w:lineRule="exact"/>
              <w:jc w:val="center"/>
              <w:textAlignment w:val="center"/>
              <w:rPr>
                <w:rFonts w:hint="eastAsia" w:ascii="仿宋_GB2312" w:hAnsi="仿宋_GB2312"/>
                <w:color w:val="000000"/>
                <w:sz w:val="24"/>
                <w:lang w:val="en-US" w:eastAsia="zh-CN"/>
              </w:rPr>
            </w:pPr>
            <w:r>
              <w:rPr>
                <w:rFonts w:hint="eastAsia" w:ascii="仿宋_GB2312" w:hAnsi="仿宋_GB2312"/>
                <w:color w:val="000000"/>
                <w:sz w:val="24"/>
                <w:lang w:val="en-US" w:eastAsia="zh-CN"/>
              </w:rPr>
              <w:t>　　（四）县级人民政府民族事务部门应当在收到审批意见的十个工作日内，将审批意见告知申请人。审批同意的，并将审批意见、公民申请书及相关证明材料抄送县级人民政府公安部门；</w:t>
            </w:r>
          </w:p>
          <w:p>
            <w:pPr>
              <w:autoSpaceDN w:val="0"/>
              <w:spacing w:line="300" w:lineRule="exact"/>
              <w:jc w:val="center"/>
              <w:textAlignment w:val="center"/>
              <w:rPr>
                <w:rFonts w:hint="eastAsia" w:ascii="仿宋_GB2312" w:hAnsi="仿宋_GB2312"/>
                <w:color w:val="000000"/>
                <w:sz w:val="24"/>
                <w:lang w:val="en-US" w:eastAsia="zh-CN"/>
              </w:rPr>
            </w:pPr>
            <w:r>
              <w:rPr>
                <w:rFonts w:hint="eastAsia" w:ascii="仿宋_GB2312" w:hAnsi="仿宋_GB2312"/>
                <w:color w:val="000000"/>
                <w:sz w:val="24"/>
                <w:lang w:val="en-US" w:eastAsia="zh-CN"/>
              </w:rPr>
              <w:t>　　（五）公安部门应当依据市级人民政府民族事务部门的审批意见，严格按照公民户籍主项信息变更的管理程序，在十五个工作日内办理公民民族成份变更登记。</w:t>
            </w:r>
          </w:p>
          <w:p>
            <w:pPr>
              <w:autoSpaceDN w:val="0"/>
              <w:spacing w:line="300" w:lineRule="exact"/>
              <w:jc w:val="center"/>
              <w:textAlignment w:val="center"/>
              <w:rPr>
                <w:rFonts w:hint="eastAsia" w:ascii="仿宋_GB2312" w:hAnsi="仿宋_GB2312"/>
                <w:color w:val="000000"/>
                <w:sz w:val="24"/>
                <w:lang w:val="en-US" w:eastAsia="zh-CN"/>
              </w:rPr>
            </w:pPr>
          </w:p>
        </w:tc>
        <w:tc>
          <w:tcPr>
            <w:tcW w:w="990" w:type="dxa"/>
            <w:vAlign w:val="center"/>
          </w:tcPr>
          <w:p>
            <w:pPr>
              <w:autoSpaceDN w:val="0"/>
              <w:spacing w:line="300" w:lineRule="exact"/>
              <w:jc w:val="center"/>
              <w:textAlignment w:val="center"/>
              <w:rPr>
                <w:rFonts w:hint="eastAsia" w:ascii="仿宋_GB2312" w:hAnsi="仿宋_GB2312"/>
                <w:color w:val="000000"/>
                <w:sz w:val="24"/>
                <w:lang w:val="en-US" w:eastAsia="zh-CN"/>
              </w:rPr>
            </w:pPr>
          </w:p>
        </w:tc>
      </w:tr>
    </w:tbl>
    <w:p>
      <w:pPr>
        <w:spacing w:line="400" w:lineRule="exact"/>
        <w:rPr>
          <w:rFonts w:hint="eastAsia" w:ascii="楷体_GB2312" w:hAnsi="楷体_GB2312" w:eastAsia="楷体_GB2312"/>
          <w:sz w:val="24"/>
        </w:rPr>
      </w:pPr>
    </w:p>
    <w:p>
      <w:pPr>
        <w:spacing w:line="400" w:lineRule="exact"/>
        <w:ind w:firstLine="480" w:firstLineChars="200"/>
        <w:rPr>
          <w:rFonts w:ascii="楷体_GB2312" w:hAnsi="楷体_GB2312" w:eastAsia="楷体_GB2312"/>
          <w:sz w:val="24"/>
        </w:rPr>
      </w:pPr>
      <w:r>
        <w:rPr>
          <w:rFonts w:hint="eastAsia" w:ascii="楷体_GB2312" w:hAnsi="楷体_GB2312" w:eastAsia="楷体_GB2312"/>
          <w:sz w:val="24"/>
        </w:rPr>
        <w:t>注：①第一栏按顺序依次填列序号；②第二栏按照行政许可、行政处罚、行政强制、行政征收、行政给付、行政检查、行政确认、行政奖励、行政裁决、其他类的“9+X”类别的顺序依次填列；③第三栏填列行政权力事项的名称，如企业投资项目核准；④第四栏填列承办行政权力事项的机关、单位及受委托的机构或组织等的名称，须填写规范性简称；⑤第五栏原则上，以法律、法规和规章，政府职能转变和机构改革方案、机构编制“三定”规定为部门行政权力设立依据。实施依据要列明法律法规规章等的名称、具体条款及内容；⑥第六栏填列行政主体在行使行政权力、实施行政活动过程中必须履行的法定职责或义务。根据行政权力行使过程划分权力运行环节，依据相关法律法规、文件规定，对各环节行政机关及其工作人员应履行义务（即责任事项）的具体内容进行描述；⑦第七栏填列行政主体没有履行或不正确履行义务，应承担不良后果各种可能的情况，即依据法律法规规章文件规定，列举行政机关及相关工作人员应承担的过失情形等；⑧第八栏填列其他需要说明的情况。上述各栏目具体填表标准详见前文。</w:t>
      </w:r>
    </w:p>
    <w:p>
      <w:pPr>
        <w:spacing w:line="400" w:lineRule="exact"/>
        <w:ind w:firstLine="480" w:firstLineChars="200"/>
        <w:rPr>
          <w:rFonts w:ascii="楷体_GB2312" w:hAnsi="楷体_GB2312" w:eastAsia="楷体_GB2312"/>
          <w:sz w:val="24"/>
        </w:rPr>
      </w:pPr>
    </w:p>
    <w:p>
      <w:pPr>
        <w:spacing w:line="400" w:lineRule="exact"/>
        <w:ind w:firstLine="480" w:firstLineChars="200"/>
        <w:rPr>
          <w:rFonts w:ascii="楷体_GB2312" w:hAnsi="楷体_GB2312" w:eastAsia="楷体_GB2312"/>
          <w:sz w:val="24"/>
        </w:rPr>
      </w:pPr>
    </w:p>
    <w:p>
      <w:pPr>
        <w:spacing w:line="400" w:lineRule="exact"/>
        <w:ind w:firstLine="480" w:firstLineChars="200"/>
        <w:rPr>
          <w:rFonts w:ascii="楷体_GB2312" w:hAnsi="楷体_GB2312" w:eastAsia="楷体_GB2312"/>
          <w:sz w:val="24"/>
        </w:rPr>
      </w:pPr>
    </w:p>
    <w:p>
      <w:pPr>
        <w:spacing w:line="400" w:lineRule="exact"/>
        <w:rPr>
          <w:rFonts w:ascii="楷体_GB2312" w:hAnsi="楷体_GB2312" w:eastAsia="楷体_GB2312"/>
          <w:sz w:val="24"/>
        </w:rPr>
      </w:pPr>
    </w:p>
    <w:p>
      <w:pPr>
        <w:spacing w:line="400" w:lineRule="exact"/>
        <w:ind w:firstLine="480" w:firstLineChars="200"/>
        <w:rPr>
          <w:rFonts w:ascii="楷体_GB2312" w:hAnsi="楷体_GB2312" w:eastAsia="楷体_GB2312"/>
          <w:sz w:val="24"/>
        </w:rPr>
      </w:pPr>
    </w:p>
    <w:p>
      <w:pPr>
        <w:spacing w:line="400" w:lineRule="exact"/>
        <w:rPr>
          <w:rFonts w:ascii="楷体_GB2312" w:hAnsi="楷体_GB2312" w:eastAsia="楷体_GB2312"/>
          <w:sz w:val="24"/>
        </w:rPr>
      </w:pPr>
    </w:p>
    <w:p>
      <w:pPr>
        <w:spacing w:line="400" w:lineRule="exact"/>
        <w:rPr>
          <w:rFonts w:ascii="楷体_GB2312" w:hAnsi="楷体_GB2312" w:eastAsia="楷体_GB2312"/>
          <w:sz w:val="24"/>
        </w:rPr>
      </w:pPr>
    </w:p>
    <w:p>
      <w:pPr>
        <w:spacing w:line="600" w:lineRule="exact"/>
        <w:rPr>
          <w:rFonts w:hint="eastAsia" w:ascii="黑体" w:hAnsi="黑体" w:eastAsia="黑体"/>
        </w:rPr>
      </w:pPr>
    </w:p>
    <w:p>
      <w:pPr>
        <w:spacing w:line="600" w:lineRule="exact"/>
        <w:rPr>
          <w:rFonts w:hint="eastAsia" w:ascii="黑体" w:hAnsi="黑体" w:eastAsia="黑体"/>
        </w:rPr>
      </w:pPr>
    </w:p>
    <w:p>
      <w:pPr>
        <w:spacing w:line="600" w:lineRule="exact"/>
        <w:rPr>
          <w:rFonts w:hint="eastAsia" w:ascii="黑体" w:hAnsi="黑体" w:eastAsia="黑体"/>
        </w:rPr>
      </w:pPr>
    </w:p>
    <w:p>
      <w:bookmarkStart w:id="0" w:name="_GoBack"/>
      <w:bookmarkEnd w:id="0"/>
    </w:p>
    <w:sectPr>
      <w:pgSz w:w="16838" w:h="11906" w:orient="landscape"/>
      <w:pgMar w:top="1800" w:right="1440" w:bottom="1800" w:left="144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书宋_GBK">
    <w:altName w:val="宋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QxZjM3MTExOWUxZDk2NGJkYmU5M2FhYjFmMGYwYTIifQ=="/>
  </w:docVars>
  <w:rsids>
    <w:rsidRoot w:val="000F3246"/>
    <w:rsid w:val="00024CB1"/>
    <w:rsid w:val="0003010D"/>
    <w:rsid w:val="000F3246"/>
    <w:rsid w:val="00165530"/>
    <w:rsid w:val="0016733F"/>
    <w:rsid w:val="002512CA"/>
    <w:rsid w:val="00262ED7"/>
    <w:rsid w:val="002B0B97"/>
    <w:rsid w:val="00321330"/>
    <w:rsid w:val="00326A7B"/>
    <w:rsid w:val="00391D3D"/>
    <w:rsid w:val="00410811"/>
    <w:rsid w:val="004B117F"/>
    <w:rsid w:val="004E50C6"/>
    <w:rsid w:val="0051713D"/>
    <w:rsid w:val="005F0E41"/>
    <w:rsid w:val="006B7A03"/>
    <w:rsid w:val="007279C0"/>
    <w:rsid w:val="00730B2B"/>
    <w:rsid w:val="00732F8D"/>
    <w:rsid w:val="007D54B3"/>
    <w:rsid w:val="00872853"/>
    <w:rsid w:val="008F3DDC"/>
    <w:rsid w:val="00927931"/>
    <w:rsid w:val="00942708"/>
    <w:rsid w:val="009A4FB5"/>
    <w:rsid w:val="009B137A"/>
    <w:rsid w:val="009D5D58"/>
    <w:rsid w:val="00A70866"/>
    <w:rsid w:val="00AE6CC8"/>
    <w:rsid w:val="00B34BB2"/>
    <w:rsid w:val="00B716CD"/>
    <w:rsid w:val="00B75359"/>
    <w:rsid w:val="00BE238E"/>
    <w:rsid w:val="00C04C07"/>
    <w:rsid w:val="00C76D0F"/>
    <w:rsid w:val="00D37331"/>
    <w:rsid w:val="00D91F41"/>
    <w:rsid w:val="00E00E35"/>
    <w:rsid w:val="00E33BA0"/>
    <w:rsid w:val="00EB3845"/>
    <w:rsid w:val="00EE4F4A"/>
    <w:rsid w:val="00F26CA4"/>
    <w:rsid w:val="00F47EE7"/>
    <w:rsid w:val="00F831CF"/>
    <w:rsid w:val="03210F6F"/>
    <w:rsid w:val="085B735D"/>
    <w:rsid w:val="17D87C81"/>
    <w:rsid w:val="23BD0A4D"/>
    <w:rsid w:val="3FDE66A1"/>
    <w:rsid w:val="48776395"/>
    <w:rsid w:val="6A1C7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3"/>
    <w:basedOn w:val="1"/>
    <w:next w:val="1"/>
    <w:link w:val="12"/>
    <w:qFormat/>
    <w:uiPriority w:val="0"/>
    <w:pPr>
      <w:widowControl/>
      <w:spacing w:before="100" w:beforeAutospacing="1" w:after="100" w:afterAutospacing="1"/>
      <w:jc w:val="left"/>
      <w:outlineLvl w:val="2"/>
    </w:pPr>
    <w:rPr>
      <w:rFonts w:ascii="宋体" w:hAnsi="宋体" w:eastAsia="宋体" w:cs="宋体"/>
      <w:b/>
      <w:bCs/>
      <w:kern w:val="0"/>
      <w:sz w:val="24"/>
      <w:szCs w:val="2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1"/>
    <w:unhideWhenUsed/>
    <w:uiPriority w:val="0"/>
    <w:pPr>
      <w:tabs>
        <w:tab w:val="center" w:pos="4153"/>
        <w:tab w:val="right" w:pos="8306"/>
      </w:tabs>
      <w:snapToGrid w:val="0"/>
      <w:jc w:val="left"/>
    </w:pPr>
    <w:rPr>
      <w:sz w:val="18"/>
      <w:szCs w:val="18"/>
    </w:rPr>
  </w:style>
  <w:style w:type="paragraph" w:styleId="4">
    <w:name w:val="header"/>
    <w:basedOn w:val="1"/>
    <w:link w:val="10"/>
    <w:unhideWhenUsed/>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page number"/>
    <w:basedOn w:val="7"/>
    <w:uiPriority w:val="0"/>
  </w:style>
  <w:style w:type="character" w:styleId="9">
    <w:name w:val="Hyperlink"/>
    <w:basedOn w:val="7"/>
    <w:semiHidden/>
    <w:unhideWhenUsed/>
    <w:uiPriority w:val="99"/>
    <w:rPr>
      <w:color w:val="0000FF"/>
      <w:u w:val="single"/>
    </w:rPr>
  </w:style>
  <w:style w:type="character" w:customStyle="1" w:styleId="10">
    <w:name w:val="页眉 字符"/>
    <w:basedOn w:val="7"/>
    <w:link w:val="4"/>
    <w:uiPriority w:val="99"/>
    <w:rPr>
      <w:sz w:val="18"/>
      <w:szCs w:val="18"/>
    </w:rPr>
  </w:style>
  <w:style w:type="character" w:customStyle="1" w:styleId="11">
    <w:name w:val="页脚 字符"/>
    <w:basedOn w:val="7"/>
    <w:link w:val="3"/>
    <w:uiPriority w:val="99"/>
    <w:rPr>
      <w:sz w:val="18"/>
      <w:szCs w:val="18"/>
    </w:rPr>
  </w:style>
  <w:style w:type="character" w:customStyle="1" w:styleId="12">
    <w:name w:val="标题 3 字符"/>
    <w:basedOn w:val="7"/>
    <w:link w:val="2"/>
    <w:uiPriority w:val="0"/>
    <w:rPr>
      <w:rFonts w:ascii="宋体" w:hAnsi="宋体" w:eastAsia="宋体" w:cs="宋体"/>
      <w:b/>
      <w:bCs/>
      <w:kern w:val="0"/>
      <w:sz w:val="24"/>
      <w:szCs w:val="24"/>
    </w:rPr>
  </w:style>
  <w:style w:type="character" w:customStyle="1" w:styleId="13">
    <w:name w:val="页码1"/>
    <w:basedOn w:val="7"/>
    <w:uiPriority w:val="0"/>
  </w:style>
  <w:style w:type="paragraph" w:customStyle="1" w:styleId="14">
    <w:name w:val="默认段落字体 Para Char Char Char Char"/>
    <w:basedOn w:val="1"/>
    <w:uiPriority w:val="0"/>
    <w:rPr>
      <w:rFonts w:eastAsia="宋体"/>
      <w:sz w:val="21"/>
      <w:szCs w:val="20"/>
    </w:rPr>
  </w:style>
  <w:style w:type="paragraph" w:styleId="15">
    <w:name w:val="List Paragraph"/>
    <w:basedOn w:val="1"/>
    <w:qFormat/>
    <w:uiPriority w:val="0"/>
    <w:pPr>
      <w:ind w:firstLine="420" w:firstLineChars="200"/>
    </w:pPr>
    <w:rPr>
      <w:rFonts w:ascii="Calibri" w:hAnsi="Calibri"/>
      <w:szCs w:val="22"/>
    </w:rPr>
  </w:style>
  <w:style w:type="paragraph" w:customStyle="1" w:styleId="16">
    <w:name w:val="段"/>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17">
    <w:name w:val="一级条标题"/>
    <w:next w:val="16"/>
    <w:uiPriority w:val="0"/>
    <w:pPr>
      <w:outlineLvl w:val="2"/>
    </w:pPr>
    <w:rPr>
      <w:rFonts w:ascii="Times New Roman" w:hAnsi="Times New Roman" w:eastAsia="黑体" w:cs="Times New Roman"/>
      <w:kern w:val="0"/>
      <w:sz w:val="21"/>
      <w:szCs w:val="20"/>
      <w:lang w:val="en-US" w:eastAsia="zh-CN" w:bidi="ar-SA"/>
    </w:rPr>
  </w:style>
  <w:style w:type="paragraph" w:customStyle="1" w:styleId="18">
    <w:name w:val="标准书脚_偶数页"/>
    <w:uiPriority w:val="0"/>
    <w:pPr>
      <w:spacing w:before="120"/>
      <w:ind w:left="221"/>
    </w:pPr>
    <w:rPr>
      <w:rFonts w:ascii="宋体" w:hAnsi="Times New Roman" w:eastAsia="宋体" w:cs="Times New Roman"/>
      <w:kern w:val="0"/>
      <w:sz w:val="18"/>
      <w:szCs w:val="18"/>
      <w:lang w:val="en-US" w:eastAsia="zh-CN" w:bidi="ar-SA"/>
    </w:rPr>
  </w:style>
  <w:style w:type="paragraph" w:customStyle="1" w:styleId="19">
    <w:name w:val="_Style 2"/>
    <w:basedOn w:val="1"/>
    <w:uiPriority w:val="0"/>
  </w:style>
  <w:style w:type="paragraph" w:customStyle="1" w:styleId="20">
    <w:name w:val="Char"/>
    <w:basedOn w:val="1"/>
    <w:uiPriority w:val="0"/>
    <w:pPr>
      <w:snapToGrid w:val="0"/>
      <w:spacing w:after="156" w:afterLines="50" w:line="360" w:lineRule="auto"/>
      <w:ind w:firstLine="480" w:firstLineChars="200"/>
    </w:pPr>
  </w:style>
  <w:style w:type="paragraph" w:customStyle="1" w:styleId="21">
    <w:name w:val="标准书眉_奇数页"/>
    <w:next w:val="1"/>
    <w:uiPriority w:val="0"/>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22">
    <w:name w:val="标准书眉_偶数页"/>
    <w:basedOn w:val="21"/>
    <w:next w:val="1"/>
    <w:uiPriority w:val="0"/>
    <w:pPr>
      <w:jc w:val="left"/>
    </w:pPr>
  </w:style>
  <w:style w:type="paragraph" w:customStyle="1" w:styleId="23">
    <w:name w:val="列出段落"/>
    <w:basedOn w:val="1"/>
    <w:uiPriority w:val="0"/>
    <w:pPr>
      <w:ind w:firstLine="420" w:firstLineChars="200"/>
    </w:pPr>
    <w:rPr>
      <w:rFonts w:ascii="仿宋_GB2312" w:hAnsi="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158109</Words>
  <Characters>159338</Characters>
  <Lines>344</Lines>
  <Paragraphs>97</Paragraphs>
  <TotalTime>38</TotalTime>
  <ScaleCrop>false</ScaleCrop>
  <LinksUpToDate>false</LinksUpToDate>
  <CharactersWithSpaces>160565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2020-12-31T02:39:00Z</dcterms:created>
  <dc:creator>CW</dc:creator>
  <cp:lastModifiedBy>Administrator</cp:lastModifiedBy>
  <dcterms:modified xsi:type="dcterms:W3CDTF">2024-06-13T02:57:43Z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63497F9A11D54E52BACA560ABE45ADD0</vt:lpwstr>
  </property>
</Properties>
</file>