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ind w:firstLine="1820" w:firstLineChars="6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部门决算公开目录</w:t>
      </w:r>
      <w:bookmarkStart w:id="0" w:name="_GoBack"/>
      <w:bookmarkEnd w:id="0"/>
    </w:p>
    <w:p>
      <w:pPr>
        <w:ind w:firstLine="420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第一部分  部门概况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一、部门职责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二、部门决算单位构成</w:t>
      </w:r>
    </w:p>
    <w:p>
      <w:pPr>
        <w:ind w:firstLine="420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第二部分 2017年度部门决算报表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一、收入支出决算总表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二、收入决算表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三、支出决算表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四、财政拨款收入支出决算总表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五、一般公共预算财政拨款收入支出决算表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六、一般公共预算财政拨款基本支出决算经济分类表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七、政府性基金预算财政拨款收入支出决算表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八、国有资本经营预算财政拨款收入支出决算表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九、“三公”经费等相关信息统计表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十、政府采购情况表</w:t>
      </w:r>
    </w:p>
    <w:p>
      <w:pPr>
        <w:ind w:firstLine="420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第三部分2017年部门决算情况说明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一、收入支出决算总体情况说明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二、收入决算情况说明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三、支出决算情况说明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四、财政拨款收入支出决算总体情况说明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五、“三公”经费支出决算情况说明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六、预算绩效管理工作开展情况说明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七、其他重要事项的说明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1.机关运行经费情况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2.政府采购情况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3.国有资产占用情况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4.其他需要说明的情况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第四部分  名词解释</w:t>
      </w:r>
    </w:p>
    <w:p>
      <w:pPr>
        <w:ind w:firstLine="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对专业性较强的名词进行解释（比如：一般公共预算财 政拨款收入、事业收入、基本支出、项目支出等）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0" w:firstLine="3080" w:leftChars="0" w:firstLineChars="1100"/>
        <w:jc w:val="both"/>
        <w:rPr>
          <w:rFonts w:asciiTheme="minorEastAsia" w:hAnsiTheme="minorEastAsia" w:cs="Arial"/>
          <w:b/>
          <w:color w:val="010101"/>
          <w:sz w:val="28"/>
          <w:szCs w:val="28"/>
        </w:rPr>
      </w:pPr>
      <w:r>
        <w:rPr>
          <w:rFonts w:asciiTheme="minorEastAsia" w:hAnsiTheme="minorEastAsia" w:cs="Arial"/>
          <w:b/>
          <w:color w:val="010101"/>
          <w:sz w:val="28"/>
          <w:szCs w:val="28"/>
        </w:rPr>
        <w:t>选将营乡部门概况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一</w:t>
      </w:r>
      <w:r>
        <w:rPr>
          <w:rFonts w:asciiTheme="minorEastAsia" w:hAnsiTheme="minorEastAsia" w:cs="Arial" w:hint="eastAsia"/>
          <w:color w:val="010101"/>
          <w:sz w:val="24"/>
          <w:szCs w:val="24"/>
        </w:rPr>
        <w:t>、</w:t>
      </w:r>
      <w:r>
        <w:rPr>
          <w:rFonts w:asciiTheme="minorEastAsia" w:hAnsiTheme="minorEastAsia" w:cs="Arial"/>
          <w:color w:val="010101"/>
          <w:sz w:val="24"/>
          <w:szCs w:val="24"/>
        </w:rPr>
        <w:t>部门职责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贯彻党的路线、方针、政策，执行本级党代会、人民代表大会的决议和上级党委、政府的决定和命令，承担促进经济发展、加强社会管理、搞好公共服务、维护社会稳定和巩固基层政权等职能，推动物质文明、政治文明、精神文明协调发展。具体职责为：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一是促进经济发展。制订实施本乡经济发展规划，指导农村经济发展，推进农业结构调整，促进经济增长方式转变，发展壮大乡村集体经济；大力发展非公有制经济，推进农村市场经济体系的建设，发展现代农业和二、三产业，促进农民增收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二是加强社会管理。制订实施本乡社会发展规划，负责抓好义务教育、人口和计划生育、耕地和生态环境保护、民政事务、救灾救助、就业培训、社会保障、劳动关系协调和新型合作医疗实施等工作。依法履行上级赋予的监督管理权和行政处罚权，配合上级行政执法部门做好相关的行政执法工作。加强农村精神文明建设，促进农村社会事业发展。加强对上级部门派驻机构的协调和监督，强化乡镇财政、村级财务和集体资产的监督管理，建立健全减轻农民负担的监督管理机制，完善区域性、突发性事件的处置工作机制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三是搞好公共服务。加强乡村基础设施建设、农田水利建设和生态环境建设，发展农村社会公共事业和集体公益事业，组织引导农村劳动力转移和就业，加强农村社会化服务体系建设，鼓励和扶持社会力量举办为“三农”服务的公益性机构和经济实体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四是维护社会稳定。加强社会治安综合治理，综合协调平安建设工作，强化信访、调解工作，化解农村社会矛盾，维护社会秩序；抓好法制宣传和普法教育，增强干部群众的</w:t>
      </w:r>
      <w:r>
        <w:rPr>
          <w:rFonts w:asciiTheme="minorEastAsia" w:hAnsiTheme="minorEastAsia" w:cs="Arial" w:hint="eastAsia"/>
          <w:color w:val="010101"/>
          <w:sz w:val="24"/>
          <w:szCs w:val="24"/>
          <w:lang w:eastAsia="zh-CN"/>
        </w:rPr>
        <w:t>法治意识</w:t>
      </w:r>
      <w:r>
        <w:rPr>
          <w:rFonts w:asciiTheme="minorEastAsia" w:hAnsiTheme="minorEastAsia" w:cs="Arial"/>
          <w:color w:val="010101"/>
          <w:sz w:val="24"/>
          <w:szCs w:val="24"/>
        </w:rPr>
        <w:t>，保护各种经济组织的合法权益和公民的合法财产权，保障公民人身权利、民主权利和其他权利。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五是巩固基层政权。加强党的思想建设、组织建设、作风建设和制度建设，深化党风廉政建设，强化乡人大对乡政府的监督，切实加强和改进对村级党组织的领导和对村民委员会的指导，扩大和健全农村基层民主，充分发挥工会、共青团、妇联等群众团体的桥梁纽带作用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/>
          <w:color w:val="010101"/>
          <w:sz w:val="24"/>
          <w:szCs w:val="24"/>
        </w:rPr>
        <w:t>六是法律、法规、规章和上级规定的其他事项。</w:t>
      </w:r>
      <w:r>
        <w:rPr>
          <w:rFonts w:asciiTheme="minorEastAsia" w:hAnsiTheme="minorEastAsia" w:cs="Arial" w:hint="eastAsia"/>
          <w:color w:val="010101"/>
          <w:sz w:val="24"/>
          <w:szCs w:val="24"/>
        </w:rPr>
        <w:tab/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480" w:leftChars="20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七是办理上级县委、县政府政府交办的其他事项。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二、部门决算单位构成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一）、党政机构设置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 xml:space="preserve">    选将营乡党委、政府综合设置6个内设机构。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1.党政办公室（挂财政办公室、统计办公室牌子）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2.经济发展办公室（挂安全生产监督管理办公室牌子）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3.社会事务办公室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4.城镇规划建设管理办公室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5.综合治理办公室（挂司法所牌子）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6.食品安全监管办公室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 xml:space="preserve">二）、事业单位设置 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1.计划生育服务站：负责人口和计划生育政策法规的宣传工作；负责优生、优育服务；负责本辖区流动人口计划生育工作。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 xml:space="preserve">2.劳动事务站：负责宣传贯彻执行劳动和社会保障法律和法规及政策；负责本乡镇社会保险、劳动用工管理；负责农村劳动力市场政策咨询、信息服务、劳动就业和社会保障服务工作。 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 xml:space="preserve">3.综合文化站：负责本乡镇行政服务中心的管理工作，组织开展丰富多彩的文体娱乐活动；指导和辅导村文化室开展各项活动。 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4.农村经济经营服务站：负责村级财务管理；负责指导农业承包合同的签订；为农村、农业、中小企业、个体私营经济和个体工商户发展提供信息服务、科技服务、法律咨询和政策服务；</w:t>
      </w:r>
    </w:p>
    <w:p>
      <w:pPr>
        <w:pStyle w:val="ListParagraph"/>
        <w:widowControl/>
        <w:shd w:val="clear" w:color="auto" w:fill="FFFFFF"/>
        <w:snapToGrid w:val="0"/>
        <w:spacing w:line="560" w:lineRule="exact"/>
        <w:ind w:left="420" w:firstLine="0" w:firstLineChars="0"/>
        <w:jc w:val="left"/>
        <w:rPr>
          <w:rFonts w:asciiTheme="minorEastAsia" w:hAnsiTheme="minorEastAsia" w:cs="Arial"/>
          <w:color w:val="01010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10101"/>
          <w:sz w:val="24"/>
          <w:szCs w:val="24"/>
        </w:rPr>
        <w:t>5.农业技术推广站：负责农业新技术品种推广工作，做好农业产前、产中、产后服务；负责农机、畜牧水产、水利、林业农村能源技术推广等服务工作。</w:t>
      </w:r>
    </w:p>
    <w:p>
      <w:pPr>
        <w:pStyle w:val="ListParagraph"/>
        <w:spacing w:line="560" w:lineRule="exact"/>
        <w:ind w:left="420" w:firstLine="0" w:firstLineChars="0"/>
        <w:jc w:val="center"/>
        <w:rPr>
          <w:rFonts w:asciiTheme="minorEastAsia" w:hAnsiTheme="minorEastAsia" w:cs="仿宋_GB2312"/>
          <w:b/>
          <w:sz w:val="28"/>
          <w:szCs w:val="28"/>
          <w:shd w:val="clear" w:color="auto" w:fill="FFFFFF"/>
        </w:rPr>
      </w:pPr>
    </w:p>
    <w:p>
      <w:pPr>
        <w:pStyle w:val="ListParagraph"/>
        <w:spacing w:line="560" w:lineRule="exact"/>
        <w:ind w:left="420" w:firstLine="0" w:firstLineChars="0"/>
        <w:jc w:val="center"/>
        <w:rPr>
          <w:rFonts w:asciiTheme="minorEastAsia" w:hAnsiTheme="minorEastAsia" w:cs="仿宋_GB2312"/>
          <w:b/>
          <w:sz w:val="28"/>
          <w:szCs w:val="28"/>
          <w:shd w:val="clear" w:color="auto" w:fill="FFFFFF"/>
        </w:rPr>
      </w:pPr>
      <w:r>
        <w:rPr>
          <w:rFonts w:asciiTheme="minorEastAsia" w:hAnsiTheme="minorEastAsia" w:cs="仿宋_GB2312" w:hint="eastAsia"/>
          <w:b/>
          <w:sz w:val="28"/>
          <w:szCs w:val="28"/>
          <w:shd w:val="clear" w:color="auto" w:fill="FFFFFF"/>
        </w:rPr>
        <w:t>选将营乡2017年部门决算情况说明</w:t>
      </w:r>
    </w:p>
    <w:p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收入支出决算总体情况说明</w:t>
      </w:r>
    </w:p>
    <w:p>
      <w:pPr>
        <w:spacing w:line="560" w:lineRule="exact"/>
        <w:ind w:left="420" w:firstLine="480" w:leftChars="200" w:firstLineChars="200"/>
        <w:rPr>
          <w:rFonts w:asciiTheme="minorEastAsia" w:hAnsiTheme="minorEastAsia" w:cs="仿宋_GB2312" w:hint="eastAsia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部门</w:t>
      </w:r>
      <w:r>
        <w:rPr>
          <w:rFonts w:asciiTheme="minorEastAsia" w:hAnsiTheme="minorEastAsia" w:cs="仿宋_GB2312"/>
          <w:bCs/>
          <w:sz w:val="24"/>
          <w:szCs w:val="24"/>
        </w:rPr>
        <w:t>201</w:t>
      </w:r>
      <w:r>
        <w:rPr>
          <w:rFonts w:asciiTheme="minorEastAsia" w:hAnsiTheme="minorEastAsia" w:cs="仿宋_GB2312" w:hint="eastAsia"/>
          <w:bCs/>
          <w:sz w:val="24"/>
          <w:szCs w:val="24"/>
        </w:rPr>
        <w:t>7年度年初结转和结余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万元，本年收入1214.19万元，其中财政拨款收入1214.19万元。本年支出1214.19万元。用事业基金弥补收支差额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万元，结余分配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万元，年末结转和结余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万元。</w:t>
      </w:r>
    </w:p>
    <w:p>
      <w:pPr>
        <w:spacing w:line="560" w:lineRule="exact"/>
        <w:ind w:left="420" w:firstLine="480" w:leftChars="200" w:firstLineChars="20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2017</w:t>
      </w:r>
      <w:r>
        <w:rPr>
          <w:rFonts w:asciiTheme="minorEastAsia" w:hAnsiTheme="minorEastAsia" w:cs="仿宋_GB2312" w:hint="eastAsia"/>
          <w:bCs/>
          <w:sz w:val="24"/>
          <w:szCs w:val="24"/>
        </w:rPr>
        <w:t>年度一般公共预算财政拨款年初结转和结余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万元，本年收入1214.19万元，本年支出1214.19万元，年末结转和结余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万元。</w:t>
      </w:r>
    </w:p>
    <w:p>
      <w:pPr>
        <w:spacing w:line="560" w:lineRule="exact"/>
        <w:ind w:left="420" w:firstLine="480" w:leftChars="200" w:firstLineChars="20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2017</w:t>
      </w:r>
      <w:r>
        <w:rPr>
          <w:rFonts w:asciiTheme="minorEastAsia" w:hAnsiTheme="minorEastAsia" w:cs="仿宋_GB2312" w:hint="eastAsia"/>
          <w:bCs/>
          <w:sz w:val="24"/>
          <w:szCs w:val="24"/>
        </w:rPr>
        <w:t>年度政府性基金预算财政拨款年初结转和结余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万元，本年收入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万元，本年支出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万元，年末结转和结余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万元。</w:t>
      </w:r>
    </w:p>
    <w:p>
      <w:pPr>
        <w:spacing w:line="560" w:lineRule="exact"/>
        <w:ind w:left="420" w:firstLine="480" w:leftChars="200" w:firstLineChars="200"/>
        <w:rPr>
          <w:rFonts w:asciiTheme="minorEastAsia" w:eastAsiaTheme="minorEastAsia" w:hAnsiTheme="minorEastAsia" w:cs="仿宋_GB2312" w:hint="eastAsia"/>
          <w:bCs/>
          <w:sz w:val="24"/>
          <w:szCs w:val="24"/>
          <w:lang w:eastAsia="zh-CN"/>
        </w:rPr>
      </w:pPr>
      <w:r>
        <w:rPr>
          <w:rFonts w:asciiTheme="minorEastAsia" w:hAnsiTheme="minorEastAsia" w:cs="仿宋_GB2312"/>
          <w:bCs/>
          <w:sz w:val="24"/>
          <w:szCs w:val="24"/>
        </w:rPr>
        <w:t>2017</w:t>
      </w:r>
      <w:r>
        <w:rPr>
          <w:rFonts w:asciiTheme="minorEastAsia" w:hAnsiTheme="minorEastAsia" w:cs="仿宋_GB2312" w:hint="eastAsia"/>
          <w:bCs/>
          <w:sz w:val="24"/>
          <w:szCs w:val="24"/>
        </w:rPr>
        <w:t>年度缴入财政专户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万元，收到财政专户核拨收入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万元。</w:t>
      </w:r>
    </w:p>
    <w:p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收入决算情况说明</w:t>
      </w:r>
    </w:p>
    <w:p>
      <w:pPr>
        <w:spacing w:line="560" w:lineRule="exact"/>
        <w:ind w:left="420" w:firstLine="480" w:leftChars="200" w:firstLineChars="20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部门</w:t>
      </w:r>
      <w:r>
        <w:rPr>
          <w:rFonts w:asciiTheme="minorEastAsia" w:hAnsiTheme="minorEastAsia" w:cs="仿宋_GB2312" w:hint="eastAsia"/>
          <w:bCs/>
          <w:sz w:val="24"/>
          <w:szCs w:val="24"/>
        </w:rPr>
        <w:t>2017</w:t>
      </w:r>
      <w:r>
        <w:rPr>
          <w:rFonts w:asciiTheme="minorEastAsia" w:hAnsiTheme="minorEastAsia" w:cs="仿宋_GB2312"/>
          <w:bCs/>
          <w:sz w:val="24"/>
          <w:szCs w:val="24"/>
        </w:rPr>
        <w:t xml:space="preserve">年度决算总收入为 </w:t>
      </w:r>
      <w:r>
        <w:rPr>
          <w:rFonts w:asciiTheme="minorEastAsia" w:hAnsiTheme="minorEastAsia" w:cs="仿宋_GB2312" w:hint="eastAsia"/>
          <w:bCs/>
          <w:sz w:val="24"/>
          <w:szCs w:val="24"/>
        </w:rPr>
        <w:t>1214.89万元</w:t>
      </w:r>
      <w:r>
        <w:rPr>
          <w:rFonts w:asciiTheme="minorEastAsia" w:hAnsiTheme="minorEastAsia" w:cs="仿宋_GB2312"/>
          <w:bCs/>
          <w:sz w:val="24"/>
          <w:szCs w:val="24"/>
        </w:rPr>
        <w:t xml:space="preserve"> ，比上年度增</w:t>
      </w:r>
      <w:r>
        <w:rPr>
          <w:rFonts w:asciiTheme="minorEastAsia" w:hAnsiTheme="minorEastAsia" w:cs="仿宋_GB2312" w:hint="eastAsia"/>
          <w:bCs/>
          <w:sz w:val="24"/>
          <w:szCs w:val="24"/>
        </w:rPr>
        <w:t>加57.78%</w:t>
      </w:r>
      <w:r>
        <w:rPr>
          <w:rFonts w:asciiTheme="minorEastAsia" w:hAnsiTheme="minorEastAsia" w:cs="仿宋_GB2312"/>
          <w:bCs/>
          <w:sz w:val="24"/>
          <w:szCs w:val="24"/>
        </w:rPr>
        <w:t>，其中同级财政拨款收入为</w:t>
      </w:r>
      <w:r>
        <w:rPr>
          <w:rFonts w:asciiTheme="minorEastAsia" w:hAnsiTheme="minorEastAsia" w:cs="仿宋_GB2312" w:hint="eastAsia"/>
          <w:bCs/>
          <w:sz w:val="24"/>
          <w:szCs w:val="24"/>
        </w:rPr>
        <w:t>1214.89万元</w:t>
      </w:r>
      <w:r>
        <w:rPr>
          <w:rFonts w:asciiTheme="minorEastAsia" w:hAnsiTheme="minorEastAsia" w:cs="仿宋_GB2312"/>
          <w:bCs/>
          <w:sz w:val="24"/>
          <w:szCs w:val="24"/>
        </w:rPr>
        <w:t>，占总收入的</w:t>
      </w:r>
      <w:r>
        <w:rPr>
          <w:rFonts w:asciiTheme="minorEastAsia" w:hAnsiTheme="minorEastAsia" w:cs="仿宋_GB2312" w:hint="eastAsia"/>
          <w:bCs/>
          <w:sz w:val="24"/>
          <w:szCs w:val="24"/>
        </w:rPr>
        <w:t>100%。重点收入项目的比重和变化趋势：上年度支农资金增长比较快，扶贫资金增长迅速。</w:t>
      </w:r>
    </w:p>
    <w:p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支出情况决算说明</w:t>
      </w:r>
    </w:p>
    <w:p>
      <w:pPr>
        <w:spacing w:line="560" w:lineRule="exact"/>
        <w:ind w:left="420" w:firstLine="480" w:leftChars="20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部门</w:t>
      </w:r>
      <w:r>
        <w:rPr>
          <w:rFonts w:asciiTheme="minorEastAsia" w:hAnsiTheme="minorEastAsia" w:cs="仿宋_GB2312"/>
          <w:bCs/>
          <w:sz w:val="24"/>
          <w:szCs w:val="24"/>
        </w:rPr>
        <w:t>201</w:t>
      </w:r>
      <w:r>
        <w:rPr>
          <w:rFonts w:asciiTheme="minorEastAsia" w:hAnsiTheme="minorEastAsia" w:cs="仿宋_GB2312" w:hint="eastAsia"/>
          <w:bCs/>
          <w:sz w:val="24"/>
          <w:szCs w:val="24"/>
        </w:rPr>
        <w:t>7年度年初结转和结余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本年收入1214.19万元，本年支出1214.19万元，2017年度部门预算715.08万元，2017年度支出较2017年初预算增加499.11万元，增加比率69.80%，主要原因是：村级一事一议项目增加和增加撤乡建镇专项项目。2016年年度支出为769.97万元，2017年支出较2016年度决算增加444.22万元，增长比率57.69%，主要原因是：村级一事一议项目增加和撤乡建镇专项项目。</w:t>
      </w:r>
    </w:p>
    <w:p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财政拨款收入支出决算总体情况说明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部门</w:t>
      </w:r>
      <w:r>
        <w:rPr>
          <w:rFonts w:asciiTheme="minorEastAsia" w:hAnsiTheme="minorEastAsia" w:cs="仿宋_GB2312"/>
          <w:bCs/>
          <w:sz w:val="24"/>
          <w:szCs w:val="24"/>
        </w:rPr>
        <w:t>201</w:t>
      </w:r>
      <w:r>
        <w:rPr>
          <w:rFonts w:asciiTheme="minorEastAsia" w:hAnsiTheme="minorEastAsia" w:cs="仿宋_GB2312" w:hint="eastAsia"/>
          <w:bCs/>
          <w:sz w:val="24"/>
          <w:szCs w:val="24"/>
        </w:rPr>
        <w:t>7年度年初结转和结余</w:t>
      </w:r>
      <w:r>
        <w:rPr>
          <w:rFonts w:asciiTheme="minorEastAsia" w:hAnsiTheme="minorEastAsia" w:cs="仿宋_GB2312"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Cs/>
          <w:sz w:val="24"/>
          <w:szCs w:val="24"/>
        </w:rPr>
        <w:t>万元，本年收入1214.19万元，其中财政拨款收入1214.19万元。本年支出1214.19万元。</w:t>
      </w:r>
    </w:p>
    <w:p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“三公”经费支出决算情况说明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2016年我单位三公经费支出26.2049万元，2017年度我单位三公经费支出8.3289万元，比上年度减少68.22%，主要减少原因为公车数量减少、维修费用减少，我单位</w:t>
      </w:r>
      <w:r>
        <w:rPr>
          <w:rFonts w:asciiTheme="minorEastAsia" w:hAnsiTheme="minorEastAsia" w:cs="仿宋_GB2312"/>
          <w:bCs/>
          <w:sz w:val="24"/>
          <w:szCs w:val="24"/>
        </w:rPr>
        <w:t>认真执行中央的八项规定，严格落实，三公经费下降迅速。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具体支出情况如下：（一）公务用车购置及运行维护费支出6.40万元， 比2016年减少17.05万元，同比减少72.74%。①公务用车购置支出0万元，同比0%。公务车辆购置及保有情况:本年购置公务用车0辆，年末公务用车保有量1辆。②公务用车运行维护费支出6.40万元，同比减少72.74%。（二）公务接待费支出1.93万元，比2016年减少0.83万元，同比减少29.99%。本年公务接待</w:t>
      </w:r>
      <w:r>
        <w:rPr>
          <w:rFonts w:asciiTheme="minorEastAsia" w:hAnsiTheme="minorEastAsia" w:cs="仿宋_GB2312" w:hint="eastAsia"/>
          <w:bCs/>
          <w:sz w:val="24"/>
          <w:szCs w:val="24"/>
          <w:lang w:val="en-US" w:eastAsia="zh-CN"/>
        </w:rPr>
        <w:t>97</w:t>
      </w:r>
      <w:r>
        <w:rPr>
          <w:rFonts w:asciiTheme="minorEastAsia" w:hAnsiTheme="minorEastAsia" w:cs="仿宋_GB2312" w:hint="eastAsia"/>
          <w:bCs/>
          <w:sz w:val="24"/>
          <w:szCs w:val="24"/>
        </w:rPr>
        <w:t>批次，</w:t>
      </w:r>
      <w:r>
        <w:rPr>
          <w:rFonts w:asciiTheme="minorEastAsia" w:hAnsiTheme="minorEastAsia" w:cs="仿宋_GB2312" w:hint="eastAsia"/>
          <w:bCs/>
          <w:sz w:val="24"/>
          <w:szCs w:val="24"/>
          <w:lang w:val="en-US" w:eastAsia="zh-CN"/>
        </w:rPr>
        <w:t>306</w:t>
      </w:r>
      <w:r>
        <w:rPr>
          <w:rFonts w:asciiTheme="minorEastAsia" w:hAnsiTheme="minorEastAsia" w:cs="仿宋_GB2312" w:hint="eastAsia"/>
          <w:bCs/>
          <w:sz w:val="24"/>
          <w:szCs w:val="24"/>
        </w:rPr>
        <w:t>人次。（三）因公出国（境）费支出0万元，同比0%。本年度组织因公出国（境）团0人次，参加其他单位组织的因公出国（境）团组0人次。</w:t>
      </w:r>
    </w:p>
    <w:p>
      <w:pPr>
        <w:spacing w:line="560" w:lineRule="exact"/>
        <w:ind w:firstLine="720" w:firstLineChars="30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六、绩效管理工作开展情况说明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总体绩效目标：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2018年，我乡党委、政府将坚持以十九大精神为指导，牢固树立“四个意识”，深入贯彻落实“五大发展理念”，坚持“以加强党的建设为总引领，以全面推进脱贫攻坚为总抓手，以美丽乡村建设、重点项目建设为总突破”的总体思路，全面推进各项工作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一、不断强化攻坚本领，平稳推进脱贫工作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选将营乡共有7个贫困村，要坚持把扶贫开发作为总抓手，抓重点、创特色、出精品，突出典型带动效应。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脱贫致富同步推进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通过实施“六个一批”，立足一手抓脱贫一手抓非贫困户致富增收。一方面借助传统农业优势壮大产业，形成示范带动效应。另一方面借助农民专业合作社吸纳农户入社，引导农户流转土地，使其从土地中解放出来，通过土地流转和外出打工增加收入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立足特色带动扶贫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在产业布局上，围绕一个目标（农民增收、贫困户脱贫），抓好六大产业（设施冷棚、露地蔬菜、中草药、食葵、林果、舍饲养牛养羊），精心打造六大基地建设。以“春雷”、“绿农”、“明和”三个种植专业合作社为示范，辐射二道营、三道营和郎栅子等村发展千亩设施冷棚种植基地建设；以“利安达”种植专业合作社为中心，发展千亩露地菜种植基地建设；以“美大康”药业有限公司为依托，培育百亩中草药种植基地建设；借助“勤奋”、“农祥”两个种植专业合作社，发展千亩食葵种植基地建设；围绕经堂，带动二道营、化吉营、郎栅子等村壮大千亩林果基地建设；凭借“兴宝”养殖专业合作社、“国荣”养殖有限公司，发展松木沟、杨树底下等周边村舍饲养牛养羊基地建设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二、持续增强主业意识，深入推进重点项目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项目建设是发展之基，要切实抓住重点项目建设这个牛鼻子推进农民增收。农业产业项目上。以二道营村、三道营村、郎栅子村为示范，以增加农民收入、建设新型美丽乡村为核心，以农村产业发展为基础，以贫困村脱贫出列为目标，辐射带动打造千亩设施蔬菜基地建设。旅游观光项目上。调整思路积极推动旅游特色产业的深度开发。大力争取上级支持，以娘娘庙村静怡山庄为中心，力争形成平顶山—静怡山庄—同林寺—黄土梁水库休闲观光旅游带，带动乡域经济多元化发展。基础建设项目上。规划做好南选线前期启动工作，全力推进乡政府所在地的道路中修建设工作；扎实做好牤牛河流域治理工作，确保沿河两岸群众生命财产安全；继续推进乡改镇后期扫尾工作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三、时刻保持务实作风，抓好美丽乡村建设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以市级美丽乡村杨树底下村建设为基础，以省级美丽乡村经堂村为示范，抓两头带中间、辐射带动沿线各村。2018年全力打造二营村、三营村，继续推进美丽乡村建设工作。对全乡10个村环境面貌进行全力整治，争取建设一批配套基础设施，实施街道亮化、绿化、美化等公共服务项目，改善人居环境，同时各村也要深入开展环境整治活动，全面改善村庄人居环境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强化为民服务意识，提升社会各项事业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继续抓好民生工程的实施，使民生工程惠及更多百姓。规范城乡低保、五保、计生奖扶对象的认定和资金发放工作，做好政策性农业保险、农房保险的参保、理赔工作，实施好“一事一议”财政奖补项目。加强动植物疫情防控工作，确保动物春防、秋防全覆盖。继续改善办学条件，加大学前教育普及力度。进一步加强乡卫生院、村卫生室建设，切实抓好重大疾病防控。巩固提升双拥成果,加强国防教育和征兵工作。做好新形势下人口和计划生育工作，加强宣传、有效落实“全面二孩”新政策。持续开展“七五”普法活动，深入推进依法治乡，加强和创新社会治理，创新信访工作机制。深入开展平安乡（村）创建活动，继续在全乡10个村和乡直单位集中开展矛盾纠纷大排查大调处活动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职责分类绩效目标：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一、扎实开展党建活动，全面加强党的建设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（一）开展意识形态教育，有效推进</w:t>
      </w:r>
      <w:r>
        <w:rPr>
          <w:rFonts w:asciiTheme="minorEastAsia" w:hAnsiTheme="minorEastAsia" w:cs="仿宋_GB2312" w:hint="eastAsia"/>
          <w:bCs/>
          <w:sz w:val="24"/>
          <w:szCs w:val="24"/>
          <w:lang w:eastAsia="zh-CN"/>
        </w:rPr>
        <w:t>“两学一做”学习教育</w:t>
      </w:r>
      <w:r>
        <w:rPr>
          <w:rFonts w:asciiTheme="minorEastAsia" w:hAnsiTheme="minorEastAsia" w:cs="仿宋_GB2312" w:hint="eastAsia"/>
          <w:bCs/>
          <w:sz w:val="24"/>
          <w:szCs w:val="24"/>
          <w:lang w:eastAsia="zh-CN"/>
        </w:rPr>
        <w:t>常态化制度化</w:t>
      </w:r>
      <w:r>
        <w:rPr>
          <w:rFonts w:asciiTheme="minorEastAsia" w:hAnsiTheme="minorEastAsia" w:cs="仿宋_GB2312"/>
          <w:bCs/>
          <w:sz w:val="24"/>
          <w:szCs w:val="24"/>
        </w:rPr>
        <w:t>、常态化。制订全年学习计划、组织学习“四个意识”、弘扬“塞罕坝精神”、学习贯彻十九大报告等专题学习活动。在学习过程中坚持领导干部带学、领学机制，凡要求乡村干部学习的内容领导干部先学先懂，机关支部全年坚持在每周五集中学习。活化学习形式，将邀请党校老师讲课、专题讨论、撰写心得贯穿于整个学习过程中，在重大节日节点开展党委书记、村党支部书记、驻村第一书记三级书记讲党课活动。通过一系列学习教育活动，切实提高了党员队伍素质，形成了推动工作的整体合力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二）严肃查处、强化问责，着力推动全面从严治党向基层延伸、向纵深发展。开展“转、优、促”活动，“微腐败”专项治理、“一问责八清理”专项行动，着力解决群众身边的不正之风和腐败问题，转变党风政风社风民风。通过开展自查自纠，建立班子整体和成员个人问题台帐、整改台帐，通过开展对标先进活动，有效促进全乡整体工作的推进，乡村干部作风明显好转，重点难点工作明显突破，发展环境明显优化。全乡自查自纠问题37条，逐条落实到人，制订整改台帐，明确整改时限，乡干部补缴以下乡餐费、电话费为主的资金6400元，完善机关各项工作制度14条，坚持“三重一大”事项集体例会制，民主集中制得到有效落实。深入推进一问责八清理行动，对发现问题及时整改，乡党委书记与问题主体责任人第一时间开展了廉政谈话，确保及时发现问题、认识问题、整改问题。一年来，选将营乡纪委处理各类违纪问题线索37件，提醒谈话３3人次，诫勉谈话4人次，查办违反纪律案件３件，处分违纪党员干部5人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三）突出重点，多处发力，逐步完善村级组织建设标准化、规范化。以开展“脱贫攻坚党旗红”“基层党建百日攻坚”、“五好党支部创建”为载体，以抓村党群活动服务中心软硬件建设为突破，全面加强村级组织建设。一是村级阵地建设全达标。投资151万完成全乡村部新建和修缮。修缮8个村，高标准新建2个村（郎栅子投资59万新建村部10间263㎡，现已投入使用；杨树底下投资60万新建村部二层10间336㎡，也已投入使用）。二是村级办公设施全配套。10个村均已完成村部办公设施的改造升级。国旗、党旗、共产党员牌、“脱贫攻坚党旗红”等室外宣传牌按要求悬挂；“党群活动服务中心”软硬件按要求配齐：入党誓词、党员权利义务展牌、党组织结构示意图、党支部制度等各项规章制度全部按要求上墙；村级远程教育可视系统全部投入使用。三是乡村制度管理全规范。一是建立和完善党员学习制度。二是严格组织生活制度，坚持“三会一课”制度。三是从党组织制度、党员发展、党费收缴、党报党刊征订等方面细化量化制订出2017年党建工作目标，明确各支部党建目标任务。四是加强党员队伍建设，坚持德才兼备的原则，积极培树农村致富带头人、种养殖协会领头人加入党组织，今年全乡发展预备党员5人，培养入党积极分子13人。五是强化各村党建、扶贫、美丽乡村建设等档案管理的规范化。六是健全村财乡管机制，进一步完善农村“三资”规范管理。四是驻村管理工作全落实。每月定期召开驻村工作组调度会议，严肃驻村工作组纪律，督促其健全驻村档案，党委规定由办公室每天8:00电话提醒各村工作组及时打卡，确保出勤率在每月20天以上，同时不定期对工作组在岗情况进行督导检查通报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二、积极谋划产业发展，提升经济整体实力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本着把握机遇、乘势而为、做大做强优势产业这个发展经济的总体思路，选将营乡在经济工作中集中精力发展以合作社为龙头的种养业，着力在富民产业上做文章：一是千亩设施冷棚种植园区已初步形成。选将营乡在原有820亩冷棚（其中硬果西红柿630亩、网纹瓜100亩、食用菌90亩）的基础上，2017年新发展设施大棚117亩（其中二营村硬果西红柿67亩、选营村网纹瓜50亩）。二是发展露地蔬菜500亩（其中松木沟、选营村各200亩，郎栅子村和三道营村共发展100亩）。三是化吉营村发展中草药种植100亩。四是以多家合作社为龙头，以化吉营村为重点全乡发展食葵3000亩，压减玉米种植面积4000亩。四是2017年全乡养殖肉牛3172头，羊8923只，生猪1882头。重点发展养殖合作社2个，其中松木沟村强君养殖专业合作社现建猪舍6栋，1200平米，养猪200头，带动贫困户40户；兴宝养羊合作社现建羊舍6栋，2300平米舍饲养羊600只，带动贫困户40户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三、强力推进精准扶贫，坚决打赢脱贫硬仗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2017年继续发挥产业扶贫在精准扶贫工作中的重要作用，拓宽群众稳定增收渠道，做到产业发展到户到人。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一）做好精准识别，筑牢脱贫工作基石。全乡总人口4253户13856人，在精准识别“回头看”工作中，入户率达100%。2017年拟退出贫困人口2030人。经工作组入户核实，村民评议，村、乡公示，乡验收组审核，最终确认贫困退出人口762户1946人。截止12月18日我乡建档立卡系统内未脱贫人口1079户2824人，贫困发生率15.56%，降低11.19个百分点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二）优化产业结构，激发产业脱贫动力。2017年，选将营乡为优化农业产业结构，大力发展设施农业，继续将设施冷棚硬果西红柿种植作为农业发展的主导产业。同时采取“合作社+农户+基地+典型带动”模式，让贫困户通过土地流转得到租金，通过到大棚务工得到薪金。发展中将有技术、有资金、有市场的种植大户作为“典型”培植，通过大户手把手传授、跟随大户打工等方式，让农户较快掌握种植大棚实用技术。</w:t>
      </w:r>
      <w:r>
        <w:rPr>
          <w:rFonts w:asciiTheme="minorEastAsia" w:hAnsiTheme="minorEastAsia" w:cs="仿宋_GB2312"/>
          <w:bCs/>
          <w:sz w:val="24"/>
          <w:szCs w:val="24"/>
        </w:rPr>
        <w:t>截至目前</w:t>
      </w:r>
      <w:r>
        <w:rPr>
          <w:rFonts w:asciiTheme="minorEastAsia" w:hAnsiTheme="minorEastAsia" w:cs="仿宋_GB2312"/>
          <w:bCs/>
          <w:sz w:val="24"/>
          <w:szCs w:val="24"/>
        </w:rPr>
        <w:t>带动贫困户 417户866人，实现经济效益200多万元，促进农民增收，助力精准脱贫。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三）多种措施并举，形成脱贫强大合力。一是从贫困户中招募生态护林员，既可保护环境，又可增加收入。2017年全乡156个贫困户成为生态护林员。二是完成7个贫困村村部光伏电板安装，投入使用后预计可增加村集体收入2万/年；村级光伏扶贫电站选址工现已完成，预计每个光伏电站可以带动71户贫困户实现脱贫。三是积极申报雨露计划，今年我乡共218人次申报雨露计划，可获得助学金1500元/人/学年，帮助贫困学生继续学业；四是加快实施“输血”式扶贫向“造血式”扶贫的工作进程，全年全乡完成农民技能培训76人次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 xml:space="preserve">（四）加快易地搬迁，做好后续产业扶持。2017年全乡共有四个移民搬迁自然村。涉及93户280人，其中建档立卡50户154人。小南沟村已陆续开始新居搬迁工作。二旨沟村集中安置小区房屋主体已全部完工，等待明年继续设施配套建设。大、小徐家沟村为县城集中安置，现已完成搬迁协议签订和村民自筹款收缴工作。针对四个自然村的实际情况，我乡因地制宜地制订了不同的后续产业扶持计划：三道营小南沟、二旨沟新村全部安装分户式光伏，并结合毛驴养殖产业实现脱贫。杨树底下大、小徐家沟自然村易地搬迁贫困户全部以扶贫资金入股县昌达农业，以入股分红+劳务输出的模式实现脱贫致富。  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四、改善乡村人居环境，打造精品美丽乡村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今年以来，我乡按照省、市、县美丽乡村建设14项工作要求，抓住“清、拆、改”三个重点，突出生态美、村容美、庭院美、生活美、乡风美”特点，高标准打造省级精品村—经堂村，市级示范村—杨树底下村。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（一）以整治农村环境卫生为突破，建设整洁乡村。经堂村拆除、改建石砌虎皮院墙3437延米；拆除违建房屋4所、猪圈29个、厕所32个；清理垃圾12000m³；投入资金7.2万，雇用保洁员 6人，新增垃圾箱30个，建立完善环境管护长效机制。杨树底下清理杂物8000m³，清理残墙断壁等85处，拆除违章建筑710㎡；改造村民院墙1839米；新建垃圾填埋场一处，设立垃圾处理专项资金2万元。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二）以硬化、亮化、绿化为方向，建设美丽乡村。经堂村街道硬化5800米，巷道硬化6900㎡；安装路灯73盏；绿化街道6250米，绿化公园绿地3处1.02万㎡；栽植大小乔灌木3120株；打造水景观1920㎡，新建停车场4处、农用工具生态园1处，修复古井2个。杨树底下硬化主街道2800米，巷道硬化600㎡；维修、新装路灯58盏；新建2000㎡小型生态园2个；环村绿化带和庭院绿化共3300㎡；栽植大小乔灌木960棵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三）以优化民居建设为重点，建设宜居乡村。经堂和杨树底下两个村全部实施自来水工程，入户率100%；进行民居改造199户，危房改造38户，新修门洞或更换大门206座；新建环保公厕3座；无害化厕所改造351户；加大清洁能源的推广和使用；完善污水处理管网的改造和提升；丰富和完善文化广场设施建设，共修建文化戏台和广场、篮球场2400㎡，安装文化体育设施10套，绘制文化墙875㎡；制订村规民约、张贴善行功德榜、创建五好家庭，推动社风、民风的改变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四）以实现农民增收为目标，建设富裕乡村。在美丽乡村建设过程中，经堂村将美丽乡村建设与农民增收相结合。在与施工队签订承包建设合同时，把优先雇用本村贫困户作为合同的重要内容，实现本村村民参与建设务工累计5000余个，促进农民增收 75万余元。同时充分发挥传统优势种殖业，引导、鼓励群众大力发展设施蔬菜。民联合作社种植网纹瓜吸纳经堂28户贫困户入股合作社实现分红增收7000多元；通过流转土地480亩发展中草药种植，村民在土地上收入实现年收益23.6万；加之产业发展带来的务工性收入，村民务工年收益40多万。杨树底下村持续推动产业结构调整，全村种植杂粮200亩，带动21户贫困户致富。经过全乡上下不断努力，经堂村基本达到省级美丽乡村建设标准，杨树底下村基本达到市级美丽乡村建设标准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五、优化社会服务水平，提升百姓幸福指数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全乡按照“以人为本、共建共享”理念发展社会事业，全面提升人民群众的幸福指数。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一）基础设施建设稳步升级。全年乡域内共完成水泥路建设24.04公里，修缮桥涵1座，改扩建文化广场14处6840㎡，安装路灯234盏，极大地便利了群众出行；全乡打机井13眼，修建护村护地坝2040米，保护了农民群众生命财产安全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二）社会民生事业稳步推进。精准识别后我乡现有农村低保998户1322人、城镇低保13户22人，补助资金444.91万元；五保94人，补助资金33.4607万元；2017年全乡新农合、新农保参保率95%以上；顺利完成2016年度危房改造验收任务272户，完成2017年度危房改造指标93户，目前已有71户完成建设任务；办理就业失业登记证72人，办理年检手续40人；转移就业4000余人，在增加农民收入的同时有效解决劳动力剩余问题；加大安全监管力度，确保了食品药品、学校等重点领域安全；3名适龄青年光荣入伍；人口和计划生育工作生育率96%；农村计划生育奖扶、特扶223人，发放资金23.52万元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三）矛盾纠纷稳步化解。坚持分管领导与政法干部齐抓共管，坚持主要领导定期接访与下访约访相结合，特别是推广二道营村“四级联访”调解机制（以组为基础、以片区为中心、以调节委员会为骨干、村两委负总责的调节制度。小的矛盾先由当事人所在的组长解决，未解决的带上组长调解意见和没有达成和解的原因到片长去解决，再解决不了的到村级民调委员会解决，如果涉及的问题复杂，仍不能解决的，再由村两委成员例会进行集体商议解决），实行组片村乡，逐层调解。实现了大事不出乡，小事不出村。十九大期间圆满完成安保任务，全乡没发生一起进京越级访事件。全年全乡排查各类矛盾纠纷和上访隐患30起，解决各类矛盾纠纷27起，其他3起通过法律途径解决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四）文化建设稳步加强。充分发挥工会、共青团、妇联等群团组织的作用，在维护机关职工、全乡青年、妇女的权益及丰富业余文化生活方面做了大量工作。成功举办选将营乡第四届文艺汇演、第二届民间花会展演、第四届“八一”建军节篮球赛等活动，活跃了乡村文化生活，让文体活动深入人心。农村书屋覆盖全部行政村，现有各类图书近3万册。投资75万元的综合文化服务中心村覆盖工程全部投入使用，全乡涉及5个村都已按照“十五个一”的要求完成所有项目建设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（五）生态环境持续提升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大力开展植树造林，增加森林覆盖率。上半年动员全乡机关干部和乡直机关单位工作人员共计110人义务植树30亩，动员社会力量种树350亩，落实管护责任，确保树木成活。强化防火和禁牧工作，层层落实责任，半年来我乡没有较大火灾发生。积极鼓励舍饲养殖，坚决打击散撒放牧。建设水利项目，防治水土流失。组织各村清理河道13600多米，有效保证河道畅通。大力推行煤改电项目，全乡涉及8个行政村44户完成项目安装使用。集中开展“乡村联动、全民参与”农村环境卫生整治活动，投入资金24万元，动用机械清理垃圾15万余方，同时建立健全长效保洁机制,巩固环境治理成果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/>
          <w:bCs/>
          <w:sz w:val="24"/>
          <w:szCs w:val="24"/>
        </w:rPr>
        <w:t>政府自身建设不断加强。不断提高行政管理能力和科学决策水平，增强政府执行力和公信力；自觉接受人大、法律监督，严格按照法定权限和程序规范行政行为；严格落实党风廉政建设责任制和</w:t>
      </w:r>
      <w:r>
        <w:rPr>
          <w:rFonts w:asciiTheme="minorEastAsia" w:hAnsiTheme="minorEastAsia" w:cs="仿宋_GB2312" w:hint="eastAsia"/>
          <w:bCs/>
          <w:sz w:val="24"/>
          <w:szCs w:val="24"/>
          <w:lang w:eastAsia="zh-CN"/>
        </w:rPr>
        <w:t>中央八项规定</w:t>
      </w:r>
      <w:r>
        <w:rPr>
          <w:rFonts w:asciiTheme="minorEastAsia" w:hAnsiTheme="minorEastAsia" w:cs="仿宋_GB2312"/>
          <w:bCs/>
          <w:sz w:val="24"/>
          <w:szCs w:val="24"/>
        </w:rPr>
        <w:t>要求，践行“打铁还需自身硬”，严控行政开支，坚持勤俭办事业，以务实高效的作风，提升政府形象。</w:t>
      </w:r>
    </w:p>
    <w:p>
      <w:pPr>
        <w:spacing w:line="560" w:lineRule="exact"/>
        <w:ind w:left="420" w:firstLine="360" w:leftChars="200" w:firstLineChars="150"/>
        <w:rPr>
          <w:rFonts w:asciiTheme="minorEastAsia" w:hAnsiTheme="minorEastAsia" w:cs="仿宋_GB2312"/>
          <w:bCs/>
          <w:sz w:val="24"/>
          <w:szCs w:val="24"/>
        </w:rPr>
      </w:pPr>
    </w:p>
    <w:p>
      <w:pPr>
        <w:pStyle w:val="ListParagraph"/>
        <w:numPr>
          <w:ilvl w:val="0"/>
          <w:numId w:val="0"/>
        </w:num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  <w:lang w:eastAsia="zh-CN"/>
        </w:rPr>
        <w:t>七、</w:t>
      </w: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其他重要事项的说明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1.机关运行经费情况</w:t>
      </w:r>
    </w:p>
    <w:p>
      <w:pPr>
        <w:spacing w:line="560" w:lineRule="exact"/>
        <w:ind w:firstLine="840" w:firstLineChars="35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2017年度机关运行经费221.50万元，较2016年200.3万元增加21.2万元，</w:t>
      </w:r>
      <w:r>
        <w:rPr>
          <w:rFonts w:asciiTheme="minorEastAsia" w:hAnsiTheme="minorEastAsia" w:cs="仿宋_GB2312" w:hint="eastAsia"/>
          <w:bCs/>
          <w:sz w:val="24"/>
          <w:szCs w:val="24"/>
        </w:rPr>
        <w:tab/>
      </w:r>
      <w:r>
        <w:rPr>
          <w:rFonts w:asciiTheme="minorEastAsia" w:hAnsiTheme="minorEastAsia" w:cs="仿宋_GB2312" w:hint="eastAsia"/>
          <w:bCs/>
          <w:sz w:val="24"/>
          <w:szCs w:val="24"/>
        </w:rPr>
        <w:t>增长比例为10.6%，增加原因是：人员经费增加。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2.政府采购情况</w:t>
      </w:r>
    </w:p>
    <w:p>
      <w:pPr>
        <w:spacing w:line="560" w:lineRule="exact"/>
        <w:ind w:firstLine="600" w:firstLineChars="250"/>
        <w:rPr>
          <w:rFonts w:asciiTheme="minorEastAsia" w:hAnsiTheme="minorEastAsia" w:cs="仿宋_GB2312" w:hint="eastAsia"/>
          <w:sz w:val="24"/>
          <w:szCs w:val="24"/>
          <w:shd w:val="clear" w:color="auto" w:fill="FFFFFF"/>
          <w:lang w:val="en-US" w:eastAsia="zh-CN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  <w:lang w:val="en-US" w:eastAsia="zh-CN"/>
        </w:rPr>
        <w:t>2017年选将营乡政府采购计划金额70.52万元，实际采购金额29.8万元，其中，货物29.8万元。</w:t>
      </w:r>
    </w:p>
    <w:p>
      <w:pPr>
        <w:spacing w:line="560" w:lineRule="exact"/>
        <w:ind w:firstLine="600" w:firstLineChars="25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3.国有资产占有情况</w:t>
      </w:r>
    </w:p>
    <w:p>
      <w:pPr>
        <w:spacing w:line="560" w:lineRule="exact"/>
        <w:ind w:firstLine="720" w:firstLineChars="3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截至2017年12月31日，本部门共有车辆1辆，其中，省级领导干部用车0辆、一般公务用车1辆、一般执法执勤用车0辆、特种专业技术用车0辆、其他用车0辆；单位价值50万元以上大型设备0台（套），单位价值100万元以上大型设备0台（套）。其他固定资产合计246.50万元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4.其他需要说明的情况</w:t>
      </w:r>
    </w:p>
    <w:p>
      <w:pPr>
        <w:spacing w:line="560" w:lineRule="exact"/>
        <w:ind w:firstLine="720" w:firstLineChars="3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无其他需要说明的情况</w:t>
      </w:r>
    </w:p>
    <w:p>
      <w:pPr>
        <w:spacing w:line="560" w:lineRule="exact"/>
        <w:jc w:val="center"/>
        <w:rPr>
          <w:rFonts w:asciiTheme="minorEastAsia" w:hAnsiTheme="minorEastAsia" w:cs="仿宋_GB2312"/>
          <w:b/>
          <w:sz w:val="30"/>
          <w:szCs w:val="30"/>
          <w:shd w:val="clear" w:color="auto" w:fill="FFFFFF"/>
        </w:rPr>
      </w:pPr>
    </w:p>
    <w:p>
      <w:pPr>
        <w:spacing w:line="560" w:lineRule="exact"/>
        <w:jc w:val="center"/>
        <w:rPr>
          <w:rFonts w:asciiTheme="minorEastAsia" w:hAnsiTheme="minorEastAsia" w:cs="仿宋_GB2312"/>
          <w:b/>
          <w:sz w:val="30"/>
          <w:szCs w:val="30"/>
          <w:shd w:val="clear" w:color="auto" w:fill="FFFFFF"/>
        </w:rPr>
      </w:pPr>
      <w:r>
        <w:rPr>
          <w:rFonts w:asciiTheme="minorEastAsia" w:hAnsiTheme="minorEastAsia" w:cs="仿宋_GB2312" w:hint="eastAsia"/>
          <w:b/>
          <w:sz w:val="30"/>
          <w:szCs w:val="30"/>
          <w:shd w:val="clear" w:color="auto" w:fill="FFFFFF"/>
        </w:rPr>
        <w:t>名词解释</w:t>
      </w:r>
    </w:p>
    <w:p>
      <w:pPr>
        <w:spacing w:line="560" w:lineRule="exact"/>
        <w:ind w:firstLine="360" w:firstLineChars="15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财政拨款收入：本年度从本级财政部门取得的财政拨款，包括一般公共预算财政拨款和政府性基金预算财政拨款。</w:t>
      </w:r>
    </w:p>
    <w:p>
      <w:pPr>
        <w:spacing w:line="560" w:lineRule="exact"/>
        <w:ind w:firstLine="360" w:firstLineChars="15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事业收入：指事业单位开展专业业务活动及辅助活动所取得的收入。</w:t>
      </w:r>
    </w:p>
    <w:p>
      <w:pPr>
        <w:spacing w:line="560" w:lineRule="exact"/>
        <w:ind w:firstLine="360" w:firstLineChars="15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其他收入：指除上述“财政拨款收入”、“事业收入”、“经营收入”等以外的收入。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年初结转和结余：指以前年度尚未完成、结转到本年仍按原规定用途继续使用的资金，或项目已经完成等产生的结余资金。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年末结转和结余：指单位按有关规定结转到下年或以后年度继续使用的资金，或项目已完成等产生的结余资金。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项目支出：填列单位为完成特定的行政工作任务或事业发展目标，在基本支出之外发生的各项支出。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基本支出：为保障机构正常运转，完成日常工作任务，而发生的人员支出和公用支出。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其他资本性支出：填列各级非发展与改革部门集中安排的用于购置固定资产、战备性和应激性储备、土地和无形资产，以及购建基础设施、大型修缮和财政支持企业更新改造所发生的支出。</w:t>
      </w:r>
    </w:p>
    <w:p>
      <w:pPr>
        <w:spacing w:line="560" w:lineRule="exact"/>
        <w:ind w:firstLine="480" w:firstLineChars="20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公车购置支出（含车辆购置税）及租用费、燃料费、维修费、过路过桥费、保险费、安全奖励费用等支出；公务接待费反映单位按规定开支的各类公务接待（含外宾接待）支出。其他交通费用：填列单位除公务用车运行维护费以外的其他交通费用。如飞机、船舶等的燃料费、维修费、过桥过路费、保险费、出租车费用、公务交通补贴等。公务用车购置：填列单位公务用车车辆购置支出（含车辆购置税）。</w:t>
      </w:r>
    </w:p>
    <w:p>
      <w:pPr>
        <w:spacing w:line="560" w:lineRule="exact"/>
        <w:ind w:firstLine="600" w:firstLineChars="250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  <w:r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暖费、办公用房物业管理费、公务用车运行维护费以及其他费用。</w:t>
      </w:r>
    </w:p>
    <w:p>
      <w:pPr>
        <w:spacing w:line="560" w:lineRule="exact"/>
        <w:rPr>
          <w:rFonts w:asciiTheme="minorEastAsia" w:hAnsiTheme="minorEastAsia" w:cs="仿宋_GB2312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A657E1"/>
    <w:multiLevelType w:val="multilevel"/>
    <w:tmpl w:val="6DA657E1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1"/>
    <w:rsid w:val="EFFA5433"/>
    <w:rsid w:val="00246DC4"/>
    <w:rsid w:val="00410CC8"/>
    <w:rsid w:val="00494608"/>
    <w:rsid w:val="004B3971"/>
    <w:rsid w:val="00565674"/>
    <w:rsid w:val="00886397"/>
    <w:rsid w:val="00A01912"/>
    <w:rsid w:val="00A50756"/>
    <w:rsid w:val="00A9424D"/>
    <w:rsid w:val="00BE247F"/>
    <w:rsid w:val="00C32B43"/>
    <w:rsid w:val="138E2CBB"/>
    <w:rsid w:val="48ED5504"/>
    <w:rsid w:val="5BCA2D58"/>
    <w:rsid w:val="76E7093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Heading4">
    <w:name w:val="Heading 4"/>
    <w:basedOn w:val="Normal"/>
    <w:qFormat/>
    <w:pPr>
      <w:keepNext/>
      <w:keepLines/>
      <w:spacing w:before="280" w:after="290"/>
      <w:ind w:firstLine="200" w:firstLineChars="200"/>
      <w:jc w:val="left"/>
      <w:outlineLvl w:val="3"/>
    </w:pPr>
    <w:rPr>
      <w:rFonts w:ascii="Cambria" w:eastAsia="仿宋_GB2312" w:hAnsi="Cambria" w:cs="Cambria"/>
      <w:b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ThinkPadE560</dc:creator>
  <cp:lastModifiedBy>zfb</cp:lastModifiedBy>
  <cp:revision>5</cp:revision>
  <dcterms:created xsi:type="dcterms:W3CDTF">2018-09-10T07:46:00Z</dcterms:created>
  <dcterms:modified xsi:type="dcterms:W3CDTF">2024-01-18T10:29:38Z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