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center"/>
        <w:rPr>
          <w:rFonts w:ascii="Times New Roman" w:hAnsi="Times New Roman" w:eastAsia="黑体" w:cs="Times New Roman"/>
          <w:b/>
          <w:sz w:val="44"/>
          <w:szCs w:val="44"/>
        </w:rPr>
      </w:pPr>
      <w:r>
        <w:rPr>
          <w:rFonts w:ascii="Times New Roman" w:hAnsi="Times New Roman" w:eastAsia="黑体" w:cs="Times New Roman"/>
          <w:b/>
          <w:sz w:val="44"/>
          <w:szCs w:val="44"/>
        </w:rPr>
        <w:t>丰宁县</w:t>
      </w:r>
      <w:r>
        <w:rPr>
          <w:rFonts w:hint="eastAsia" w:ascii="Times New Roman" w:hAnsi="Times New Roman" w:eastAsia="黑体" w:cs="Times New Roman"/>
          <w:b/>
          <w:sz w:val="44"/>
          <w:szCs w:val="44"/>
          <w:lang w:val="en-US" w:eastAsia="zh-CN"/>
        </w:rPr>
        <w:t>美丽乡村建设领导小组办公室</w:t>
      </w:r>
      <w:r>
        <w:rPr>
          <w:rFonts w:ascii="Times New Roman" w:hAnsi="Times New Roman" w:eastAsia="黑体" w:cs="Times New Roman"/>
          <w:b/>
          <w:sz w:val="44"/>
          <w:szCs w:val="44"/>
        </w:rPr>
        <w:t>20</w:t>
      </w:r>
      <w:r>
        <w:rPr>
          <w:rFonts w:hint="eastAsia" w:ascii="Times New Roman" w:hAnsi="Times New Roman" w:eastAsia="黑体" w:cs="Times New Roman"/>
          <w:b/>
          <w:sz w:val="44"/>
          <w:szCs w:val="44"/>
          <w:lang w:val="en-US" w:eastAsia="zh-CN"/>
        </w:rPr>
        <w:t>20</w:t>
      </w:r>
      <w:r>
        <w:rPr>
          <w:rFonts w:ascii="Times New Roman" w:hAnsi="Times New Roman" w:eastAsia="黑体" w:cs="Times New Roman"/>
          <w:b/>
          <w:sz w:val="44"/>
          <w:szCs w:val="44"/>
        </w:rPr>
        <w:t>年部门预算信息公开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按照《中华人民共和国预算法》、《地方预决算公开操作规程》和《河北省省级预算公开办法》规定，现将丰宁县美丽办20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年部门预算公开如下：</w:t>
      </w:r>
    </w:p>
    <w:p>
      <w:pPr>
        <w:ind w:firstLine="640"/>
        <w:rPr>
          <w:rFonts w:hint="eastAsia" w:ascii="仿宋" w:hAnsi="仿宋" w:eastAsia="仿宋" w:cs="仿宋"/>
          <w:sz w:val="32"/>
          <w:szCs w:val="32"/>
        </w:rPr>
      </w:pPr>
      <w:r>
        <w:rPr>
          <w:rFonts w:hint="eastAsia" w:ascii="仿宋" w:hAnsi="仿宋" w:eastAsia="仿宋" w:cs="仿宋"/>
          <w:sz w:val="32"/>
          <w:szCs w:val="32"/>
        </w:rPr>
        <w:t>一、部门职责及机构设置情况</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通过实施深度贫困村面貌改造提升行动和农村人居环境整治，改善农村环境面貌，提升农民生产生活条件，加快建设社会主义新农村。</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一、组织实施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明确省市相关政策要求，做好上传下达工作，组织协调各相关单位，推进深度贫困村面貌提升和农村人居环境整治任务的完成。在具体工作中要做好宣传工作，将上级政策要求很好的传达给各乡镇、各任务村；及时做好相关材料汇总上报；组织协调县级各相关单位科学完成工作任务。按照省、市对于深度贫困面貌改造提升及农村人居环境整治要求，确保各建设项目科学合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二、督导检查</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每月按照工作推进情况安排下乡，实地督导检查深度贫困村面貌改造提升及农村人居环境整治情况，记录各村反馈问题，并给与解决。对于深度贫困村面貌改造提升的各个建设项目要给与科学合理的指导，聚焦农村存在的垃圾、污水、厕所粪污、村容村貌等最突出问题，对于不同条件的村人居环境整治要因地制宜。对于各村反馈的问题和困难要给与及时的帮助。对于督导过程严格按照规定进行督导，对于问题及时指出，对于好的经验进行推广。</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三、检查验收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对各乡镇、各村美丽乡村建设及农村人居环境整治工作进行检查验收，确保各村全部完成相关工作任务；确保各牵头部门负责项目全部达标；保证帮扶效果，驻村工作组遵守纪律，起到应有作用。验收形式采取实地验收，组织县级相关部门、乡镇主要领导、及村级干部进行现场验收评分。验收完毕进行组卷，按照实施方案、验收报告单、四议两公开、合同协议、发票复印件五项材料进行组卷。组织验收程序按照县级要求和规定保证整个程序真实有效。</w:t>
      </w:r>
    </w:p>
    <w:p>
      <w:pPr>
        <w:autoSpaceDE w:val="0"/>
        <w:autoSpaceDN w:val="0"/>
        <w:adjustRightInd w:val="0"/>
        <w:ind w:left="198" w:firstLine="643" w:firstLineChars="200"/>
        <w:jc w:val="left"/>
        <w:rPr>
          <w:rFonts w:hint="eastAsia" w:ascii="仿宋" w:hAnsi="仿宋" w:eastAsia="仿宋" w:cs="仿宋"/>
          <w:b/>
          <w:sz w:val="32"/>
          <w:szCs w:val="32"/>
        </w:rPr>
      </w:pPr>
      <w:r>
        <w:rPr>
          <w:rFonts w:hint="eastAsia" w:ascii="仿宋" w:hAnsi="仿宋" w:eastAsia="仿宋" w:cs="仿宋"/>
          <w:b/>
          <w:sz w:val="32"/>
          <w:szCs w:val="32"/>
        </w:rPr>
        <w:t>机构设置：</w:t>
      </w:r>
    </w:p>
    <w:p>
      <w:pPr>
        <w:jc w:val="center"/>
        <w:outlineLvl w:val="0"/>
        <w:rPr>
          <w:rFonts w:ascii="Times New Roman" w:hAnsi="Times New Roman" w:eastAsia="方正小标宋_GBK" w:cs="Times New Roman"/>
          <w:sz w:val="32"/>
          <w:szCs w:val="24"/>
        </w:rPr>
      </w:pPr>
      <w:r>
        <w:rPr>
          <w:rFonts w:hint="eastAsia" w:ascii="仿宋" w:hAnsi="仿宋" w:eastAsia="仿宋" w:cs="仿宋"/>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restart"/>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单位名称</w:t>
            </w:r>
          </w:p>
        </w:tc>
        <w:tc>
          <w:tcPr>
            <w:tcW w:w="1134" w:type="dxa"/>
            <w:vMerge w:val="restart"/>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单位性质</w:t>
            </w:r>
          </w:p>
        </w:tc>
        <w:tc>
          <w:tcPr>
            <w:tcW w:w="1276" w:type="dxa"/>
            <w:vMerge w:val="restart"/>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单位规格</w:t>
            </w:r>
          </w:p>
        </w:tc>
        <w:tc>
          <w:tcPr>
            <w:tcW w:w="2902" w:type="dxa"/>
            <w:vMerge w:val="restart"/>
            <w:vAlign w:val="center"/>
          </w:tcPr>
          <w:p>
            <w:pPr>
              <w:spacing w:line="300" w:lineRule="exact"/>
              <w:jc w:val="center"/>
              <w:rPr>
                <w:rFonts w:hint="eastAsia" w:ascii="仿宋" w:hAnsi="仿宋" w:eastAsia="仿宋" w:cs="仿宋"/>
                <w:b/>
                <w:szCs w:val="21"/>
              </w:rPr>
            </w:pPr>
            <w:r>
              <w:rPr>
                <w:rFonts w:hint="eastAsia" w:ascii="仿宋" w:hAnsi="仿宋" w:eastAsia="仿宋" w:cs="仿宋"/>
                <w:b/>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4443" w:type="dxa"/>
            <w:vMerge w:val="continue"/>
            <w:vAlign w:val="center"/>
          </w:tcPr>
          <w:p>
            <w:pPr>
              <w:spacing w:line="300" w:lineRule="exact"/>
              <w:jc w:val="left"/>
              <w:outlineLvl w:val="0"/>
              <w:rPr>
                <w:rFonts w:hint="eastAsia" w:ascii="仿宋" w:hAnsi="仿宋" w:eastAsia="仿宋" w:cs="仿宋"/>
                <w:szCs w:val="21"/>
              </w:rPr>
            </w:pPr>
          </w:p>
        </w:tc>
        <w:tc>
          <w:tcPr>
            <w:tcW w:w="1134" w:type="dxa"/>
            <w:vMerge w:val="continue"/>
            <w:vAlign w:val="center"/>
          </w:tcPr>
          <w:p>
            <w:pPr>
              <w:spacing w:line="300" w:lineRule="exact"/>
              <w:jc w:val="left"/>
              <w:outlineLvl w:val="0"/>
              <w:rPr>
                <w:rFonts w:hint="eastAsia" w:ascii="仿宋" w:hAnsi="仿宋" w:eastAsia="仿宋" w:cs="仿宋"/>
                <w:szCs w:val="21"/>
              </w:rPr>
            </w:pPr>
          </w:p>
        </w:tc>
        <w:tc>
          <w:tcPr>
            <w:tcW w:w="1276" w:type="dxa"/>
            <w:vMerge w:val="continue"/>
            <w:vAlign w:val="center"/>
          </w:tcPr>
          <w:p>
            <w:pPr>
              <w:spacing w:line="300" w:lineRule="exact"/>
              <w:jc w:val="left"/>
              <w:outlineLvl w:val="0"/>
              <w:rPr>
                <w:rFonts w:hint="eastAsia" w:ascii="仿宋" w:hAnsi="仿宋" w:eastAsia="仿宋" w:cs="仿宋"/>
                <w:szCs w:val="21"/>
              </w:rPr>
            </w:pPr>
          </w:p>
        </w:tc>
        <w:tc>
          <w:tcPr>
            <w:tcW w:w="2902" w:type="dxa"/>
            <w:vMerge w:val="continue"/>
            <w:vAlign w:val="center"/>
          </w:tcPr>
          <w:p>
            <w:pPr>
              <w:spacing w:line="300" w:lineRule="exact"/>
              <w:jc w:val="left"/>
              <w:outlineLvl w:val="0"/>
              <w:rPr>
                <w:rFonts w:hint="eastAsia" w:ascii="仿宋" w:hAnsi="仿宋" w:eastAsia="仿宋" w:cs="仿宋"/>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300" w:lineRule="exact"/>
              <w:jc w:val="left"/>
              <w:rPr>
                <w:rFonts w:hint="eastAsia" w:ascii="仿宋" w:hAnsi="仿宋" w:eastAsia="仿宋" w:cs="仿宋"/>
                <w:szCs w:val="21"/>
              </w:rPr>
            </w:pPr>
            <w:r>
              <w:rPr>
                <w:rFonts w:hint="eastAsia" w:ascii="仿宋" w:hAnsi="仿宋" w:eastAsia="仿宋" w:cs="仿宋"/>
                <w:bCs/>
                <w:szCs w:val="21"/>
              </w:rPr>
              <w:t>办公室</w:t>
            </w:r>
          </w:p>
        </w:tc>
        <w:tc>
          <w:tcPr>
            <w:tcW w:w="1134"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事业</w:t>
            </w:r>
          </w:p>
        </w:tc>
        <w:tc>
          <w:tcPr>
            <w:tcW w:w="1276"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股级</w:t>
            </w:r>
          </w:p>
        </w:tc>
        <w:tc>
          <w:tcPr>
            <w:tcW w:w="2902" w:type="dxa"/>
            <w:vAlign w:val="center"/>
          </w:tcPr>
          <w:p>
            <w:pPr>
              <w:spacing w:line="300" w:lineRule="exact"/>
              <w:jc w:val="center"/>
              <w:rPr>
                <w:rFonts w:hint="eastAsia" w:ascii="仿宋" w:hAnsi="仿宋" w:eastAsia="仿宋" w:cs="仿宋"/>
                <w:szCs w:val="21"/>
              </w:rPr>
            </w:pPr>
            <w:r>
              <w:rPr>
                <w:rFonts w:hint="eastAsia" w:ascii="仿宋" w:hAnsi="仿宋" w:eastAsia="仿宋" w:cs="仿宋"/>
                <w:szCs w:val="21"/>
              </w:rPr>
              <w:t>财政性资金基本保证</w:t>
            </w:r>
          </w:p>
        </w:tc>
      </w:tr>
    </w:tbl>
    <w:p>
      <w:pPr>
        <w:autoSpaceDE w:val="0"/>
        <w:autoSpaceDN w:val="0"/>
        <w:adjustRightInd w:val="0"/>
        <w:ind w:firstLine="643" w:firstLineChars="200"/>
        <w:jc w:val="left"/>
        <w:rPr>
          <w:rFonts w:hint="eastAsia" w:ascii="仿宋" w:hAnsi="仿宋" w:eastAsia="仿宋" w:cs="仿宋"/>
          <w:b/>
          <w:sz w:val="32"/>
          <w:szCs w:val="32"/>
          <w:lang w:eastAsia="zh-CN"/>
        </w:rPr>
      </w:pPr>
      <w:r>
        <w:rPr>
          <w:rFonts w:hint="eastAsia" w:ascii="仿宋" w:hAnsi="仿宋" w:eastAsia="仿宋" w:cs="仿宋"/>
          <w:b/>
          <w:sz w:val="32"/>
          <w:szCs w:val="32"/>
        </w:rPr>
        <w:t>部门预算单位构成：</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640" w:leftChars="0" w:right="0" w:rightChars="0"/>
        <w:jc w:val="left"/>
        <w:rPr>
          <w:rFonts w:hint="eastAsia" w:ascii="仿宋" w:hAnsi="仿宋" w:eastAsia="仿宋" w:cs="仿宋"/>
          <w:i w:val="0"/>
          <w:caps w:val="0"/>
          <w:color w:val="000000" w:themeColor="text1"/>
          <w:spacing w:val="0"/>
          <w:kern w:val="0"/>
          <w:sz w:val="32"/>
          <w:szCs w:val="32"/>
          <w:u w:val="none"/>
          <w:shd w:val="clear" w:fill="FFFFFF"/>
          <w:lang w:val="en-US" w:eastAsia="zh-CN" w:bidi="ar"/>
        </w:rPr>
      </w:pPr>
      <w:r>
        <w:rPr>
          <w:rFonts w:hint="eastAsia" w:ascii="仿宋" w:hAnsi="仿宋" w:eastAsia="仿宋" w:cs="仿宋"/>
          <w:b/>
          <w:bCs/>
          <w:i w:val="0"/>
          <w:caps w:val="0"/>
          <w:color w:val="000000" w:themeColor="text1"/>
          <w:spacing w:val="0"/>
          <w:kern w:val="0"/>
          <w:sz w:val="32"/>
          <w:szCs w:val="32"/>
          <w:u w:val="none"/>
          <w:shd w:val="clear" w:fill="FFFFFF"/>
          <w:lang w:val="en-US" w:eastAsia="zh-CN" w:bidi="ar"/>
        </w:rPr>
        <w:t>无下属单位：</w:t>
      </w:r>
      <w:r>
        <w:rPr>
          <w:rFonts w:hint="eastAsia" w:ascii="仿宋" w:hAnsi="仿宋" w:eastAsia="仿宋" w:cs="仿宋"/>
          <w:i w:val="0"/>
          <w:caps w:val="0"/>
          <w:color w:val="000000" w:themeColor="text1"/>
          <w:spacing w:val="0"/>
          <w:kern w:val="0"/>
          <w:sz w:val="32"/>
          <w:szCs w:val="32"/>
          <w:u w:val="none"/>
          <w:shd w:val="clear" w:fill="FFFFFF"/>
          <w:lang w:val="en-US" w:eastAsia="zh-CN" w:bidi="ar"/>
        </w:rPr>
        <w:t>丰宁满族自治县人居环境整治办公室无下设单位，本次公开的预算包含丰丰宁满族自治县人居环境整治办公室本级预算。</w:t>
      </w:r>
    </w:p>
    <w:p>
      <w:pPr>
        <w:ind w:firstLine="640"/>
        <w:rPr>
          <w:rFonts w:hint="eastAsia" w:ascii="仿宋" w:hAnsi="仿宋" w:eastAsia="仿宋" w:cs="仿宋"/>
          <w:b/>
          <w:bCs/>
          <w:sz w:val="32"/>
          <w:szCs w:val="32"/>
        </w:rPr>
      </w:pPr>
      <w:r>
        <w:rPr>
          <w:rFonts w:hint="eastAsia" w:ascii="仿宋" w:hAnsi="仿宋" w:eastAsia="仿宋" w:cs="仿宋"/>
          <w:b/>
          <w:bCs/>
          <w:sz w:val="32"/>
          <w:szCs w:val="32"/>
        </w:rPr>
        <w:t>二、部门预算安排的总体情况</w:t>
      </w:r>
    </w:p>
    <w:p>
      <w:pPr>
        <w:ind w:firstLine="640"/>
        <w:rPr>
          <w:rFonts w:hint="eastAsia" w:ascii="仿宋" w:hAnsi="仿宋" w:eastAsia="仿宋" w:cs="仿宋"/>
          <w:sz w:val="32"/>
          <w:szCs w:val="32"/>
        </w:rPr>
      </w:pPr>
      <w:r>
        <w:rPr>
          <w:rFonts w:hint="eastAsia" w:ascii="仿宋" w:hAnsi="仿宋" w:eastAsia="仿宋" w:cs="仿宋"/>
          <w:sz w:val="32"/>
          <w:szCs w:val="32"/>
        </w:rPr>
        <w:t>按照预算管理有关规定，目前我县部门预算的编制实行综合预算制度，即全部收入和支出都反映在预算中。丰宁县</w:t>
      </w:r>
      <w:r>
        <w:rPr>
          <w:rFonts w:hint="eastAsia" w:ascii="仿宋" w:hAnsi="仿宋" w:eastAsia="仿宋" w:cs="仿宋"/>
          <w:sz w:val="32"/>
          <w:szCs w:val="32"/>
          <w:lang w:val="en-US" w:eastAsia="zh-CN"/>
        </w:rPr>
        <w:t>人居办</w:t>
      </w:r>
      <w:r>
        <w:rPr>
          <w:rFonts w:hint="eastAsia" w:ascii="仿宋" w:hAnsi="仿宋" w:eastAsia="仿宋" w:cs="仿宋"/>
          <w:sz w:val="32"/>
          <w:szCs w:val="32"/>
        </w:rPr>
        <w:t>的收支包含在部门预算中。</w:t>
      </w:r>
    </w:p>
    <w:p>
      <w:pPr>
        <w:ind w:firstLine="640"/>
        <w:rPr>
          <w:rFonts w:hint="eastAsia" w:ascii="仿宋" w:hAnsi="仿宋" w:eastAsia="仿宋" w:cs="仿宋"/>
          <w:b/>
          <w:bCs/>
          <w:sz w:val="32"/>
          <w:szCs w:val="32"/>
        </w:rPr>
      </w:pPr>
      <w:r>
        <w:rPr>
          <w:rFonts w:hint="eastAsia" w:ascii="仿宋" w:hAnsi="仿宋" w:eastAsia="仿宋" w:cs="仿宋"/>
          <w:b/>
          <w:bCs/>
          <w:sz w:val="32"/>
          <w:szCs w:val="32"/>
        </w:rPr>
        <w:t>1、收入说明</w:t>
      </w:r>
    </w:p>
    <w:p>
      <w:pPr>
        <w:ind w:firstLine="640"/>
        <w:rPr>
          <w:rFonts w:hint="eastAsia" w:ascii="仿宋" w:hAnsi="仿宋" w:eastAsia="仿宋" w:cs="仿宋"/>
          <w:sz w:val="32"/>
          <w:szCs w:val="32"/>
        </w:rPr>
      </w:pPr>
      <w:r>
        <w:rPr>
          <w:rFonts w:hint="eastAsia" w:ascii="仿宋" w:hAnsi="仿宋" w:eastAsia="仿宋" w:cs="仿宋"/>
          <w:sz w:val="32"/>
          <w:szCs w:val="32"/>
        </w:rPr>
        <w:t>反映本部门当年全部收入。20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年预算收入</w:t>
      </w:r>
      <w:r>
        <w:rPr>
          <w:rFonts w:hint="eastAsia" w:ascii="仿宋" w:hAnsi="仿宋" w:eastAsia="仿宋" w:cs="仿宋"/>
          <w:sz w:val="32"/>
          <w:szCs w:val="32"/>
          <w:lang w:val="en-US" w:eastAsia="zh-CN"/>
        </w:rPr>
        <w:t>1003</w:t>
      </w:r>
      <w:r>
        <w:rPr>
          <w:rFonts w:hint="eastAsia" w:ascii="仿宋" w:hAnsi="仿宋" w:eastAsia="仿宋" w:cs="仿宋"/>
          <w:sz w:val="32"/>
          <w:szCs w:val="32"/>
        </w:rPr>
        <w:t>.</w:t>
      </w:r>
      <w:r>
        <w:rPr>
          <w:rFonts w:hint="eastAsia" w:ascii="仿宋" w:hAnsi="仿宋" w:eastAsia="仿宋" w:cs="仿宋"/>
          <w:sz w:val="32"/>
          <w:szCs w:val="32"/>
          <w:lang w:val="en-US" w:eastAsia="zh-CN"/>
        </w:rPr>
        <w:t>83</w:t>
      </w:r>
      <w:r>
        <w:rPr>
          <w:rFonts w:hint="eastAsia" w:ascii="仿宋" w:hAnsi="仿宋" w:eastAsia="仿宋" w:cs="仿宋"/>
          <w:sz w:val="32"/>
          <w:szCs w:val="32"/>
        </w:rPr>
        <w:t>万元，其中：一般公共预算收入</w:t>
      </w:r>
      <w:r>
        <w:rPr>
          <w:rFonts w:hint="eastAsia" w:ascii="仿宋" w:hAnsi="仿宋" w:eastAsia="仿宋" w:cs="仿宋"/>
          <w:sz w:val="32"/>
          <w:szCs w:val="32"/>
          <w:lang w:val="en-US" w:eastAsia="zh-CN"/>
        </w:rPr>
        <w:t>1003</w:t>
      </w:r>
      <w:r>
        <w:rPr>
          <w:rFonts w:hint="eastAsia" w:ascii="仿宋" w:hAnsi="仿宋" w:eastAsia="仿宋" w:cs="仿宋"/>
          <w:sz w:val="32"/>
          <w:szCs w:val="32"/>
        </w:rPr>
        <w:t>.</w:t>
      </w:r>
      <w:r>
        <w:rPr>
          <w:rFonts w:hint="eastAsia" w:ascii="仿宋" w:hAnsi="仿宋" w:eastAsia="仿宋" w:cs="仿宋"/>
          <w:sz w:val="32"/>
          <w:szCs w:val="32"/>
          <w:lang w:val="en-US" w:eastAsia="zh-CN"/>
        </w:rPr>
        <w:t>83</w:t>
      </w:r>
      <w:r>
        <w:rPr>
          <w:rFonts w:hint="eastAsia" w:ascii="仿宋" w:hAnsi="仿宋" w:eastAsia="仿宋" w:cs="仿宋"/>
          <w:sz w:val="32"/>
          <w:szCs w:val="32"/>
        </w:rPr>
        <w:t>万元，基金预算收入0.00万元，其他来源收入0.00万元。</w:t>
      </w:r>
    </w:p>
    <w:p>
      <w:pPr>
        <w:ind w:firstLine="640"/>
        <w:rPr>
          <w:rFonts w:hint="eastAsia" w:ascii="仿宋" w:hAnsi="仿宋" w:eastAsia="仿宋" w:cs="仿宋"/>
          <w:b/>
          <w:bCs/>
          <w:sz w:val="32"/>
          <w:szCs w:val="32"/>
        </w:rPr>
      </w:pPr>
      <w:r>
        <w:rPr>
          <w:rFonts w:hint="eastAsia" w:ascii="仿宋" w:hAnsi="仿宋" w:eastAsia="仿宋" w:cs="仿宋"/>
          <w:b/>
          <w:bCs/>
          <w:sz w:val="32"/>
          <w:szCs w:val="32"/>
        </w:rPr>
        <w:t>2、支出说明</w:t>
      </w:r>
    </w:p>
    <w:p>
      <w:pPr>
        <w:ind w:firstLine="640"/>
        <w:rPr>
          <w:rFonts w:hint="eastAsia" w:ascii="仿宋" w:hAnsi="仿宋" w:eastAsia="仿宋" w:cs="仿宋"/>
          <w:sz w:val="32"/>
          <w:szCs w:val="32"/>
        </w:rPr>
      </w:pPr>
      <w:r>
        <w:rPr>
          <w:rFonts w:hint="eastAsia" w:ascii="仿宋" w:hAnsi="仿宋" w:eastAsia="仿宋" w:cs="仿宋"/>
          <w:sz w:val="32"/>
          <w:szCs w:val="32"/>
        </w:rPr>
        <w:t>收支预算总表支出栏、基本支出表、项目支出表按经济分类和支出功能分类科目编制，反映丰宁县美丽办年度部门预算中支出预算的总体情况。20</w:t>
      </w:r>
      <w:r>
        <w:rPr>
          <w:rFonts w:hint="eastAsia" w:ascii="仿宋" w:hAnsi="仿宋" w:eastAsia="仿宋" w:cs="仿宋"/>
          <w:sz w:val="32"/>
          <w:szCs w:val="32"/>
          <w:lang w:val="en-US" w:eastAsia="zh-CN"/>
        </w:rPr>
        <w:t>20</w:t>
      </w:r>
      <w:r>
        <w:rPr>
          <w:rFonts w:hint="eastAsia" w:ascii="仿宋" w:hAnsi="仿宋" w:eastAsia="仿宋" w:cs="仿宋"/>
          <w:sz w:val="32"/>
          <w:szCs w:val="32"/>
        </w:rPr>
        <w:t>年支出预算</w:t>
      </w:r>
      <w:r>
        <w:rPr>
          <w:rFonts w:hint="eastAsia" w:ascii="仿宋" w:hAnsi="仿宋" w:eastAsia="仿宋" w:cs="仿宋"/>
          <w:sz w:val="32"/>
          <w:szCs w:val="32"/>
          <w:lang w:val="en-US" w:eastAsia="zh-CN"/>
        </w:rPr>
        <w:t>1003</w:t>
      </w:r>
      <w:r>
        <w:rPr>
          <w:rFonts w:hint="eastAsia" w:ascii="仿宋" w:hAnsi="仿宋" w:eastAsia="仿宋" w:cs="仿宋"/>
          <w:sz w:val="32"/>
          <w:szCs w:val="32"/>
        </w:rPr>
        <w:t>.</w:t>
      </w:r>
      <w:r>
        <w:rPr>
          <w:rFonts w:hint="eastAsia" w:ascii="仿宋" w:hAnsi="仿宋" w:eastAsia="仿宋" w:cs="仿宋"/>
          <w:sz w:val="32"/>
          <w:szCs w:val="32"/>
          <w:lang w:val="en-US" w:eastAsia="zh-CN"/>
        </w:rPr>
        <w:t>83</w:t>
      </w:r>
      <w:r>
        <w:rPr>
          <w:rFonts w:hint="eastAsia" w:ascii="仿宋" w:hAnsi="仿宋" w:eastAsia="仿宋" w:cs="仿宋"/>
          <w:sz w:val="32"/>
          <w:szCs w:val="32"/>
        </w:rPr>
        <w:t>万元，其中基本支出0.00万元，包括人员经费0.00万元和日常公用经费0.00万元；项目支出</w:t>
      </w:r>
      <w:r>
        <w:rPr>
          <w:rFonts w:hint="eastAsia" w:ascii="仿宋" w:hAnsi="仿宋" w:eastAsia="仿宋" w:cs="仿宋"/>
          <w:sz w:val="32"/>
          <w:szCs w:val="32"/>
          <w:lang w:val="en-US" w:eastAsia="zh-CN"/>
        </w:rPr>
        <w:t>1003</w:t>
      </w:r>
      <w:r>
        <w:rPr>
          <w:rFonts w:hint="eastAsia" w:ascii="仿宋" w:hAnsi="仿宋" w:eastAsia="仿宋" w:cs="仿宋"/>
          <w:sz w:val="32"/>
          <w:szCs w:val="32"/>
        </w:rPr>
        <w:t>.</w:t>
      </w:r>
      <w:r>
        <w:rPr>
          <w:rFonts w:hint="eastAsia" w:ascii="仿宋" w:hAnsi="仿宋" w:eastAsia="仿宋" w:cs="仿宋"/>
          <w:sz w:val="32"/>
          <w:szCs w:val="32"/>
          <w:lang w:val="en-US" w:eastAsia="zh-CN"/>
        </w:rPr>
        <w:t>83</w:t>
      </w:r>
      <w:r>
        <w:rPr>
          <w:rFonts w:hint="eastAsia" w:ascii="仿宋" w:hAnsi="仿宋" w:eastAsia="仿宋" w:cs="仿宋"/>
          <w:sz w:val="32"/>
          <w:szCs w:val="32"/>
        </w:rPr>
        <w:t>万元，其中本级支出</w:t>
      </w:r>
      <w:r>
        <w:rPr>
          <w:rFonts w:hint="eastAsia" w:ascii="仿宋" w:hAnsi="仿宋" w:eastAsia="仿宋" w:cs="仿宋"/>
          <w:sz w:val="32"/>
          <w:szCs w:val="32"/>
          <w:lang w:val="en-US" w:eastAsia="zh-CN"/>
        </w:rPr>
        <w:t>979</w:t>
      </w:r>
      <w:r>
        <w:rPr>
          <w:rFonts w:hint="eastAsia" w:ascii="仿宋" w:hAnsi="仿宋" w:eastAsia="仿宋" w:cs="仿宋"/>
          <w:sz w:val="32"/>
          <w:szCs w:val="32"/>
        </w:rPr>
        <w:t>万元，对下补助0.00万元，主要</w:t>
      </w:r>
      <w:r>
        <w:rPr>
          <w:rFonts w:hint="eastAsia" w:ascii="仿宋" w:hAnsi="仿宋" w:eastAsia="仿宋" w:cs="仿宋"/>
          <w:sz w:val="32"/>
          <w:szCs w:val="32"/>
          <w:lang w:val="en-US" w:eastAsia="zh-CN"/>
        </w:rPr>
        <w:t>用于办公经费、粪污收集、户厕项目</w:t>
      </w:r>
      <w:r>
        <w:rPr>
          <w:rFonts w:hint="eastAsia" w:ascii="仿宋" w:hAnsi="仿宋" w:eastAsia="仿宋" w:cs="仿宋"/>
          <w:sz w:val="32"/>
          <w:szCs w:val="32"/>
        </w:rPr>
        <w:t>；其他支出</w:t>
      </w:r>
      <w:r>
        <w:rPr>
          <w:rFonts w:hint="eastAsia" w:ascii="仿宋" w:hAnsi="仿宋" w:eastAsia="仿宋" w:cs="仿宋"/>
          <w:sz w:val="32"/>
          <w:szCs w:val="32"/>
          <w:lang w:val="en-US" w:eastAsia="zh-CN"/>
        </w:rPr>
        <w:t>24.83</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主要用于劳务派遣人员工资</w:t>
      </w:r>
      <w:r>
        <w:rPr>
          <w:rFonts w:hint="eastAsia" w:ascii="仿宋" w:hAnsi="仿宋" w:eastAsia="仿宋" w:cs="仿宋"/>
          <w:sz w:val="32"/>
          <w:szCs w:val="32"/>
        </w:rPr>
        <w:t>。</w:t>
      </w:r>
    </w:p>
    <w:p>
      <w:pPr>
        <w:numPr>
          <w:ilvl w:val="0"/>
          <w:numId w:val="1"/>
        </w:numPr>
        <w:ind w:firstLine="640"/>
        <w:rPr>
          <w:rFonts w:hint="eastAsia" w:ascii="仿宋" w:hAnsi="仿宋" w:eastAsia="仿宋" w:cs="仿宋"/>
          <w:b/>
          <w:bCs/>
          <w:sz w:val="32"/>
          <w:szCs w:val="32"/>
        </w:rPr>
      </w:pPr>
      <w:r>
        <w:rPr>
          <w:rFonts w:hint="eastAsia" w:ascii="仿宋" w:hAnsi="仿宋" w:eastAsia="仿宋" w:cs="仿宋"/>
          <w:b/>
          <w:bCs/>
          <w:sz w:val="32"/>
          <w:szCs w:val="32"/>
        </w:rPr>
        <w:t>比上年增减情况</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20</w:t>
      </w:r>
      <w:r>
        <w:rPr>
          <w:rFonts w:hint="eastAsia" w:ascii="仿宋" w:hAnsi="仿宋" w:eastAsia="仿宋" w:cs="仿宋"/>
          <w:sz w:val="32"/>
          <w:szCs w:val="32"/>
        </w:rPr>
        <w:t>年预算收支安排</w:t>
      </w:r>
      <w:r>
        <w:rPr>
          <w:rFonts w:hint="eastAsia" w:ascii="仿宋" w:hAnsi="仿宋" w:eastAsia="仿宋" w:cs="仿宋"/>
          <w:sz w:val="32"/>
          <w:szCs w:val="32"/>
          <w:lang w:val="en-US" w:eastAsia="zh-CN"/>
        </w:rPr>
        <w:t>1003</w:t>
      </w:r>
      <w:r>
        <w:rPr>
          <w:rFonts w:hint="eastAsia" w:ascii="仿宋" w:hAnsi="仿宋" w:eastAsia="仿宋" w:cs="仿宋"/>
          <w:sz w:val="32"/>
          <w:szCs w:val="32"/>
        </w:rPr>
        <w:t>.</w:t>
      </w:r>
      <w:r>
        <w:rPr>
          <w:rFonts w:hint="eastAsia" w:ascii="仿宋" w:hAnsi="仿宋" w:eastAsia="仿宋" w:cs="仿宋"/>
          <w:sz w:val="32"/>
          <w:szCs w:val="32"/>
          <w:lang w:val="en-US" w:eastAsia="zh-CN"/>
        </w:rPr>
        <w:t>83</w:t>
      </w:r>
      <w:r>
        <w:rPr>
          <w:rFonts w:hint="eastAsia" w:ascii="仿宋" w:hAnsi="仿宋" w:eastAsia="仿宋" w:cs="仿宋"/>
          <w:sz w:val="32"/>
          <w:szCs w:val="32"/>
        </w:rPr>
        <w:t>万元，较20</w:t>
      </w:r>
      <w:r>
        <w:rPr>
          <w:rFonts w:hint="eastAsia" w:ascii="仿宋" w:hAnsi="仿宋" w:eastAsia="仿宋" w:cs="仿宋"/>
          <w:sz w:val="32"/>
          <w:szCs w:val="32"/>
          <w:lang w:val="en-US" w:eastAsia="zh-CN"/>
        </w:rPr>
        <w:t>19</w:t>
      </w:r>
      <w:r>
        <w:rPr>
          <w:rFonts w:hint="eastAsia" w:ascii="仿宋" w:hAnsi="仿宋" w:eastAsia="仿宋" w:cs="仿宋"/>
          <w:sz w:val="32"/>
          <w:szCs w:val="32"/>
        </w:rPr>
        <w:t>年预算减少</w:t>
      </w:r>
      <w:r>
        <w:rPr>
          <w:rFonts w:hint="eastAsia" w:ascii="仿宋" w:hAnsi="仿宋" w:eastAsia="仿宋" w:cs="仿宋"/>
          <w:sz w:val="32"/>
          <w:szCs w:val="32"/>
          <w:lang w:val="en-US" w:eastAsia="zh-CN"/>
        </w:rPr>
        <w:t>3567.67</w:t>
      </w:r>
      <w:r>
        <w:rPr>
          <w:rFonts w:hint="eastAsia" w:ascii="仿宋" w:hAnsi="仿宋" w:eastAsia="仿宋" w:cs="仿宋"/>
          <w:sz w:val="32"/>
          <w:szCs w:val="32"/>
        </w:rPr>
        <w:t>万元，其中：基本支出减少</w:t>
      </w:r>
      <w:r>
        <w:rPr>
          <w:rFonts w:hint="eastAsia" w:ascii="仿宋" w:hAnsi="仿宋" w:eastAsia="仿宋" w:cs="仿宋"/>
          <w:sz w:val="32"/>
          <w:szCs w:val="32"/>
          <w:lang w:val="en-US" w:eastAsia="zh-CN"/>
        </w:rPr>
        <w:t>5</w:t>
      </w:r>
      <w:r>
        <w:rPr>
          <w:rFonts w:hint="eastAsia" w:ascii="仿宋" w:hAnsi="仿宋" w:eastAsia="仿宋" w:cs="仿宋"/>
          <w:sz w:val="32"/>
          <w:szCs w:val="32"/>
        </w:rPr>
        <w:t>.00万元，主要由于压减办公经费；</w:t>
      </w:r>
      <w:r>
        <w:rPr>
          <w:rFonts w:hint="eastAsia" w:ascii="仿宋" w:hAnsi="仿宋" w:eastAsia="仿宋" w:cs="仿宋"/>
          <w:sz w:val="32"/>
          <w:szCs w:val="32"/>
          <w:lang w:val="en-US" w:eastAsia="zh-CN"/>
        </w:rPr>
        <w:t>其他支出较2019年增加24.83，主要由于劳务派遣人员工资；</w:t>
      </w:r>
      <w:r>
        <w:rPr>
          <w:rFonts w:hint="eastAsia" w:ascii="仿宋" w:hAnsi="仿宋" w:eastAsia="仿宋" w:cs="仿宋"/>
          <w:sz w:val="32"/>
          <w:szCs w:val="32"/>
        </w:rPr>
        <w:t>项目支出较20</w:t>
      </w:r>
      <w:r>
        <w:rPr>
          <w:rFonts w:hint="eastAsia" w:ascii="仿宋" w:hAnsi="仿宋" w:eastAsia="仿宋" w:cs="仿宋"/>
          <w:sz w:val="32"/>
          <w:szCs w:val="32"/>
          <w:lang w:val="en-US" w:eastAsia="zh-CN"/>
        </w:rPr>
        <w:t>19</w:t>
      </w:r>
      <w:r>
        <w:rPr>
          <w:rFonts w:hint="eastAsia" w:ascii="仿宋" w:hAnsi="仿宋" w:eastAsia="仿宋" w:cs="仿宋"/>
          <w:sz w:val="32"/>
          <w:szCs w:val="32"/>
        </w:rPr>
        <w:t>年实际安排减少</w:t>
      </w:r>
      <w:r>
        <w:rPr>
          <w:rFonts w:hint="eastAsia" w:ascii="仿宋" w:hAnsi="仿宋" w:eastAsia="仿宋" w:cs="仿宋"/>
          <w:sz w:val="32"/>
          <w:szCs w:val="32"/>
          <w:lang w:val="en-US" w:eastAsia="zh-CN"/>
        </w:rPr>
        <w:t>3570</w:t>
      </w:r>
      <w:r>
        <w:rPr>
          <w:rFonts w:hint="eastAsia" w:ascii="仿宋" w:hAnsi="仿宋" w:eastAsia="仿宋" w:cs="仿宋"/>
          <w:sz w:val="32"/>
          <w:szCs w:val="32"/>
        </w:rPr>
        <w:t>万元，主要</w:t>
      </w:r>
      <w:r>
        <w:rPr>
          <w:rFonts w:hint="eastAsia" w:ascii="仿宋" w:hAnsi="仿宋" w:eastAsia="仿宋" w:cs="仿宋"/>
          <w:sz w:val="32"/>
          <w:szCs w:val="32"/>
          <w:lang w:val="en-US" w:eastAsia="zh-CN"/>
        </w:rPr>
        <w:t>省级深度贫困村资金未提前下达</w:t>
      </w:r>
      <w:r>
        <w:rPr>
          <w:rFonts w:hint="eastAsia" w:ascii="仿宋" w:hAnsi="仿宋" w:eastAsia="仿宋" w:cs="仿宋"/>
          <w:sz w:val="32"/>
          <w:szCs w:val="32"/>
        </w:rPr>
        <w:t>。</w:t>
      </w:r>
    </w:p>
    <w:p>
      <w:pPr>
        <w:ind w:firstLine="640"/>
        <w:rPr>
          <w:rFonts w:hint="eastAsia" w:ascii="仿宋" w:hAnsi="仿宋" w:eastAsia="仿宋" w:cs="仿宋"/>
          <w:b/>
          <w:bCs/>
          <w:sz w:val="32"/>
          <w:szCs w:val="32"/>
        </w:rPr>
      </w:pPr>
      <w:r>
        <w:rPr>
          <w:rFonts w:hint="eastAsia" w:ascii="仿宋" w:hAnsi="仿宋" w:eastAsia="仿宋" w:cs="仿宋"/>
          <w:b/>
          <w:bCs/>
          <w:sz w:val="32"/>
          <w:szCs w:val="32"/>
        </w:rPr>
        <w:t>三、机关运行经费安排情况</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2018年，我单位机关运行经费共计安排</w:t>
      </w:r>
      <w:r>
        <w:rPr>
          <w:rFonts w:hint="eastAsia" w:ascii="仿宋" w:hAnsi="仿宋" w:eastAsia="仿宋" w:cs="仿宋"/>
          <w:sz w:val="32"/>
          <w:szCs w:val="32"/>
          <w:lang w:val="en-US" w:eastAsia="zh-CN"/>
        </w:rPr>
        <w:t>23</w:t>
      </w:r>
      <w:r>
        <w:rPr>
          <w:rFonts w:hint="eastAsia" w:ascii="仿宋" w:hAnsi="仿宋" w:eastAsia="仿宋" w:cs="仿宋"/>
          <w:sz w:val="32"/>
          <w:szCs w:val="32"/>
        </w:rPr>
        <w:t>.00万元，安排用于办公费、印刷费、咨询费、手续费、电费、差旅费、维修费、租赁费、会议费、公务接待费、劳务费、工会经费、福利费、一般设备购置费、公务用车运行维护费以及其他费用等支出。</w:t>
      </w:r>
    </w:p>
    <w:p>
      <w:pPr>
        <w:numPr>
          <w:ilvl w:val="0"/>
          <w:numId w:val="2"/>
        </w:numPr>
        <w:tabs>
          <w:tab w:val="left" w:pos="11490"/>
        </w:tabs>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财政拨款“三公”经费预算情况及增减变化原因</w:t>
      </w:r>
    </w:p>
    <w:p>
      <w:pPr>
        <w:spacing w:line="500" w:lineRule="exact"/>
        <w:ind w:firstLine="640" w:firstLineChars="200"/>
        <w:rPr>
          <w:rFonts w:hint="eastAsia" w:ascii="仿宋" w:hAnsi="仿宋" w:eastAsia="仿宋" w:cs="仿宋"/>
          <w:b/>
          <w:color w:val="000000" w:themeColor="text1"/>
          <w:sz w:val="32"/>
          <w:szCs w:val="32"/>
          <w:u w:val="none"/>
        </w:rPr>
      </w:pPr>
      <w:r>
        <w:rPr>
          <w:rFonts w:hint="eastAsia" w:ascii="仿宋" w:hAnsi="仿宋" w:eastAsia="仿宋" w:cs="仿宋"/>
          <w:color w:val="000000" w:themeColor="text1"/>
          <w:sz w:val="32"/>
          <w:szCs w:val="32"/>
          <w:u w:val="none"/>
        </w:rPr>
        <w:t>20</w:t>
      </w:r>
      <w:r>
        <w:rPr>
          <w:rFonts w:hint="eastAsia" w:ascii="仿宋" w:hAnsi="仿宋" w:eastAsia="仿宋" w:cs="仿宋"/>
          <w:color w:val="000000" w:themeColor="text1"/>
          <w:sz w:val="32"/>
          <w:szCs w:val="32"/>
          <w:u w:val="none"/>
          <w:lang w:val="en-US" w:eastAsia="zh-CN"/>
        </w:rPr>
        <w:t>20</w:t>
      </w:r>
      <w:r>
        <w:rPr>
          <w:rFonts w:hint="eastAsia" w:ascii="仿宋" w:hAnsi="仿宋" w:eastAsia="仿宋" w:cs="仿宋"/>
          <w:color w:val="000000" w:themeColor="text1"/>
          <w:sz w:val="32"/>
          <w:szCs w:val="32"/>
          <w:u w:val="none"/>
        </w:rPr>
        <w:t>年</w:t>
      </w:r>
      <w:r>
        <w:rPr>
          <w:rFonts w:hint="eastAsia" w:ascii="仿宋" w:hAnsi="仿宋" w:eastAsia="仿宋" w:cs="仿宋"/>
          <w:color w:val="000000" w:themeColor="text1"/>
          <w:sz w:val="32"/>
          <w:szCs w:val="32"/>
          <w:u w:val="none"/>
          <w:lang w:val="en-US" w:eastAsia="zh-CN"/>
        </w:rPr>
        <w:t>人居办</w:t>
      </w:r>
      <w:r>
        <w:rPr>
          <w:rFonts w:hint="eastAsia" w:ascii="仿宋" w:hAnsi="仿宋" w:eastAsia="仿宋" w:cs="仿宋"/>
          <w:color w:val="000000" w:themeColor="text1"/>
          <w:sz w:val="32"/>
          <w:szCs w:val="32"/>
          <w:u w:val="none"/>
        </w:rPr>
        <w:t xml:space="preserve"> “三公”经费公共预算财政拨款预算</w:t>
      </w:r>
      <w:r>
        <w:rPr>
          <w:rFonts w:hint="eastAsia" w:ascii="仿宋" w:hAnsi="仿宋" w:eastAsia="仿宋" w:cs="仿宋"/>
          <w:color w:val="000000" w:themeColor="text1"/>
          <w:sz w:val="32"/>
          <w:szCs w:val="32"/>
          <w:u w:val="none"/>
          <w:lang w:val="en-US" w:eastAsia="zh-CN"/>
        </w:rPr>
        <w:t xml:space="preserve">5.00 </w:t>
      </w:r>
      <w:r>
        <w:rPr>
          <w:rFonts w:hint="eastAsia" w:ascii="仿宋" w:hAnsi="仿宋" w:eastAsia="仿宋" w:cs="仿宋"/>
          <w:color w:val="000000" w:themeColor="text1"/>
          <w:sz w:val="32"/>
          <w:szCs w:val="32"/>
          <w:u w:val="none"/>
        </w:rPr>
        <w:t>万元，比上年</w:t>
      </w:r>
      <w:r>
        <w:rPr>
          <w:rFonts w:hint="eastAsia" w:ascii="仿宋" w:hAnsi="仿宋" w:eastAsia="仿宋" w:cs="仿宋"/>
          <w:color w:val="000000" w:themeColor="text1"/>
          <w:sz w:val="32"/>
          <w:szCs w:val="32"/>
          <w:u w:val="none"/>
          <w:lang w:val="en-US" w:eastAsia="zh-CN"/>
        </w:rPr>
        <w:t>减少</w:t>
      </w:r>
      <w:r>
        <w:rPr>
          <w:rFonts w:hint="eastAsia" w:ascii="仿宋" w:hAnsi="仿宋" w:eastAsia="仿宋" w:cs="仿宋"/>
          <w:color w:val="000000" w:themeColor="text1"/>
          <w:sz w:val="32"/>
          <w:szCs w:val="32"/>
          <w:u w:val="none"/>
        </w:rPr>
        <w:t xml:space="preserve"> </w:t>
      </w:r>
      <w:r>
        <w:rPr>
          <w:rFonts w:hint="eastAsia" w:ascii="仿宋" w:hAnsi="仿宋" w:eastAsia="仿宋" w:cs="仿宋"/>
          <w:color w:val="000000" w:themeColor="text1"/>
          <w:sz w:val="32"/>
          <w:szCs w:val="32"/>
          <w:u w:val="none"/>
          <w:lang w:val="en-US" w:eastAsia="zh-CN"/>
        </w:rPr>
        <w:t>1.00</w:t>
      </w:r>
      <w:r>
        <w:rPr>
          <w:rFonts w:hint="eastAsia" w:ascii="仿宋" w:hAnsi="仿宋" w:eastAsia="仿宋" w:cs="仿宋"/>
          <w:color w:val="000000" w:themeColor="text1"/>
          <w:sz w:val="32"/>
          <w:szCs w:val="32"/>
          <w:u w:val="none"/>
        </w:rPr>
        <w:t xml:space="preserve"> 万元。</w:t>
      </w:r>
      <w:r>
        <w:rPr>
          <w:rFonts w:hint="eastAsia" w:ascii="仿宋" w:hAnsi="仿宋" w:eastAsia="仿宋" w:cs="仿宋"/>
          <w:color w:val="000000" w:themeColor="text1"/>
          <w:sz w:val="32"/>
          <w:szCs w:val="32"/>
          <w:u w:val="none"/>
          <w:lang w:eastAsia="zh-CN"/>
        </w:rPr>
        <w:t>我部门</w:t>
      </w:r>
      <w:r>
        <w:rPr>
          <w:rFonts w:hint="eastAsia" w:ascii="仿宋" w:hAnsi="仿宋" w:eastAsia="仿宋" w:cs="仿宋"/>
          <w:color w:val="000000" w:themeColor="text1"/>
          <w:sz w:val="32"/>
          <w:szCs w:val="32"/>
          <w:u w:val="none"/>
        </w:rPr>
        <w:t>三公经费变动主要原因分别是：</w:t>
      </w:r>
      <w:r>
        <w:rPr>
          <w:rFonts w:hint="eastAsia" w:ascii="仿宋" w:hAnsi="仿宋" w:eastAsia="仿宋" w:cs="仿宋"/>
          <w:color w:val="000000" w:themeColor="text1"/>
          <w:sz w:val="32"/>
          <w:szCs w:val="32"/>
          <w:u w:val="none"/>
          <w:lang w:val="en-US" w:eastAsia="zh-CN"/>
        </w:rPr>
        <w:t>压减三公经费支出</w:t>
      </w:r>
      <w:r>
        <w:rPr>
          <w:rFonts w:hint="eastAsia" w:ascii="仿宋" w:hAnsi="仿宋" w:eastAsia="仿宋" w:cs="仿宋"/>
          <w:color w:val="000000" w:themeColor="text1"/>
          <w:sz w:val="32"/>
          <w:szCs w:val="32"/>
          <w:u w:val="none"/>
        </w:rPr>
        <w:t>。</w:t>
      </w:r>
    </w:p>
    <w:p>
      <w:pPr>
        <w:spacing w:line="500" w:lineRule="exact"/>
        <w:ind w:firstLine="643" w:firstLineChars="200"/>
        <w:rPr>
          <w:rFonts w:hint="eastAsia" w:ascii="仿宋" w:hAnsi="仿宋" w:eastAsia="仿宋" w:cs="仿宋"/>
          <w:b/>
          <w:bCs/>
          <w:color w:val="000000" w:themeColor="text1"/>
          <w:sz w:val="32"/>
          <w:szCs w:val="32"/>
          <w:u w:val="none"/>
        </w:rPr>
      </w:pPr>
      <w:r>
        <w:rPr>
          <w:rFonts w:hint="eastAsia" w:ascii="仿宋" w:hAnsi="仿宋" w:eastAsia="仿宋" w:cs="仿宋"/>
          <w:b/>
          <w:bCs/>
          <w:color w:val="000000" w:themeColor="text1"/>
          <w:sz w:val="32"/>
          <w:szCs w:val="32"/>
          <w:u w:val="none"/>
        </w:rPr>
        <w:t>具体支出情况如下：</w:t>
      </w:r>
    </w:p>
    <w:p>
      <w:pPr>
        <w:numPr>
          <w:ilvl w:val="0"/>
          <w:numId w:val="3"/>
        </w:numPr>
        <w:spacing w:line="500" w:lineRule="exact"/>
        <w:ind w:firstLine="640" w:firstLineChars="200"/>
        <w:rPr>
          <w:rFonts w:hint="eastAsia"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 xml:space="preserve">因公出国（境）费 </w:t>
      </w:r>
      <w:r>
        <w:rPr>
          <w:rFonts w:hint="eastAsia" w:ascii="仿宋" w:hAnsi="仿宋" w:eastAsia="仿宋" w:cs="仿宋"/>
          <w:color w:val="000000" w:themeColor="text1"/>
          <w:sz w:val="32"/>
          <w:szCs w:val="32"/>
          <w:u w:val="none"/>
          <w:lang w:val="en-US" w:eastAsia="zh-CN"/>
        </w:rPr>
        <w:t>0.00</w:t>
      </w:r>
      <w:r>
        <w:rPr>
          <w:rFonts w:hint="eastAsia" w:ascii="仿宋" w:hAnsi="仿宋" w:eastAsia="仿宋" w:cs="仿宋"/>
          <w:color w:val="000000" w:themeColor="text1"/>
          <w:sz w:val="32"/>
          <w:szCs w:val="32"/>
          <w:u w:val="none"/>
        </w:rPr>
        <w:t xml:space="preserve"> 万元，与201</w:t>
      </w:r>
      <w:r>
        <w:rPr>
          <w:rFonts w:hint="eastAsia" w:ascii="仿宋" w:hAnsi="仿宋" w:eastAsia="仿宋" w:cs="仿宋"/>
          <w:color w:val="000000" w:themeColor="text1"/>
          <w:sz w:val="32"/>
          <w:szCs w:val="32"/>
          <w:u w:val="none"/>
          <w:lang w:val="en-US" w:eastAsia="zh-CN"/>
        </w:rPr>
        <w:t>9</w:t>
      </w:r>
      <w:r>
        <w:rPr>
          <w:rFonts w:hint="eastAsia" w:ascii="仿宋" w:hAnsi="仿宋" w:eastAsia="仿宋" w:cs="仿宋"/>
          <w:color w:val="000000" w:themeColor="text1"/>
          <w:sz w:val="32"/>
          <w:szCs w:val="32"/>
          <w:u w:val="none"/>
        </w:rPr>
        <w:t>年相比无增减变化。</w:t>
      </w:r>
    </w:p>
    <w:p>
      <w:pPr>
        <w:numPr>
          <w:ilvl w:val="0"/>
          <w:numId w:val="3"/>
        </w:numPr>
        <w:spacing w:line="500" w:lineRule="exact"/>
        <w:ind w:firstLine="640" w:firstLineChars="200"/>
        <w:rPr>
          <w:rFonts w:hint="eastAsia"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 xml:space="preserve">公务用车购置及运行维护费 </w:t>
      </w:r>
      <w:r>
        <w:rPr>
          <w:rFonts w:hint="eastAsia" w:ascii="仿宋" w:hAnsi="仿宋" w:eastAsia="仿宋" w:cs="仿宋"/>
          <w:color w:val="000000" w:themeColor="text1"/>
          <w:sz w:val="32"/>
          <w:szCs w:val="32"/>
          <w:u w:val="none"/>
          <w:lang w:val="en-US" w:eastAsia="zh-CN"/>
        </w:rPr>
        <w:t>4.00</w:t>
      </w:r>
      <w:r>
        <w:rPr>
          <w:rFonts w:hint="eastAsia" w:ascii="仿宋" w:hAnsi="仿宋" w:eastAsia="仿宋" w:cs="仿宋"/>
          <w:color w:val="000000" w:themeColor="text1"/>
          <w:sz w:val="32"/>
          <w:szCs w:val="32"/>
          <w:u w:val="none"/>
        </w:rPr>
        <w:t xml:space="preserve"> 万元，同比</w:t>
      </w:r>
      <w:r>
        <w:rPr>
          <w:rFonts w:hint="eastAsia" w:ascii="仿宋" w:hAnsi="仿宋" w:eastAsia="仿宋" w:cs="仿宋"/>
          <w:color w:val="000000" w:themeColor="text1"/>
          <w:sz w:val="32"/>
          <w:szCs w:val="32"/>
          <w:u w:val="none"/>
          <w:lang w:val="en-US" w:eastAsia="zh-CN"/>
        </w:rPr>
        <w:t>减少</w:t>
      </w:r>
      <w:r>
        <w:rPr>
          <w:rFonts w:hint="eastAsia" w:ascii="仿宋" w:hAnsi="仿宋" w:eastAsia="仿宋" w:cs="仿宋"/>
          <w:color w:val="000000" w:themeColor="text1"/>
          <w:sz w:val="32"/>
          <w:szCs w:val="32"/>
          <w:u w:val="none"/>
        </w:rPr>
        <w:t xml:space="preserve"> </w:t>
      </w:r>
      <w:r>
        <w:rPr>
          <w:rFonts w:hint="eastAsia" w:ascii="仿宋" w:hAnsi="仿宋" w:eastAsia="仿宋" w:cs="仿宋"/>
          <w:color w:val="000000" w:themeColor="text1"/>
          <w:sz w:val="32"/>
          <w:szCs w:val="32"/>
          <w:u w:val="none"/>
          <w:lang w:val="en-US" w:eastAsia="zh-CN"/>
        </w:rPr>
        <w:t xml:space="preserve">1.00 </w:t>
      </w:r>
      <w:r>
        <w:rPr>
          <w:rFonts w:hint="eastAsia" w:ascii="仿宋" w:hAnsi="仿宋" w:eastAsia="仿宋" w:cs="仿宋"/>
          <w:color w:val="000000" w:themeColor="text1"/>
          <w:sz w:val="32"/>
          <w:szCs w:val="32"/>
          <w:u w:val="none"/>
        </w:rPr>
        <w:t>万元。</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1280" w:firstLineChars="400"/>
        <w:textAlignment w:val="auto"/>
        <w:rPr>
          <w:rFonts w:hint="eastAsia"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公务用车购置</w:t>
      </w:r>
      <w:r>
        <w:rPr>
          <w:rFonts w:hint="eastAsia" w:ascii="仿宋" w:hAnsi="仿宋" w:eastAsia="仿宋" w:cs="仿宋"/>
          <w:color w:val="000000" w:themeColor="text1"/>
          <w:sz w:val="32"/>
          <w:szCs w:val="32"/>
          <w:u w:val="none"/>
          <w:lang w:val="en-US" w:eastAsia="zh-CN"/>
        </w:rPr>
        <w:t>0.00</w:t>
      </w:r>
      <w:r>
        <w:rPr>
          <w:rFonts w:hint="eastAsia" w:ascii="仿宋" w:hAnsi="仿宋" w:eastAsia="仿宋" w:cs="仿宋"/>
          <w:color w:val="000000" w:themeColor="text1"/>
          <w:sz w:val="32"/>
          <w:szCs w:val="32"/>
          <w:u w:val="none"/>
        </w:rPr>
        <w:t>万元，与201</w:t>
      </w:r>
      <w:r>
        <w:rPr>
          <w:rFonts w:hint="eastAsia" w:ascii="仿宋" w:hAnsi="仿宋" w:eastAsia="仿宋" w:cs="仿宋"/>
          <w:color w:val="000000" w:themeColor="text1"/>
          <w:sz w:val="32"/>
          <w:szCs w:val="32"/>
          <w:u w:val="none"/>
          <w:lang w:val="en-US" w:eastAsia="zh-CN"/>
        </w:rPr>
        <w:t>9</w:t>
      </w:r>
      <w:r>
        <w:rPr>
          <w:rFonts w:hint="eastAsia" w:ascii="仿宋" w:hAnsi="仿宋" w:eastAsia="仿宋" w:cs="仿宋"/>
          <w:color w:val="000000" w:themeColor="text1"/>
          <w:sz w:val="32"/>
          <w:szCs w:val="32"/>
          <w:u w:val="none"/>
        </w:rPr>
        <w:t>年相比无增减变化。</w:t>
      </w:r>
    </w:p>
    <w:p>
      <w:pPr>
        <w:keepNext w:val="0"/>
        <w:keepLines w:val="0"/>
        <w:pageBreakBefore w:val="0"/>
        <w:widowControl w:val="0"/>
        <w:numPr>
          <w:ilvl w:val="0"/>
          <w:numId w:val="4"/>
        </w:numPr>
        <w:kinsoku/>
        <w:wordWrap/>
        <w:overflowPunct/>
        <w:topLinePunct w:val="0"/>
        <w:autoSpaceDE/>
        <w:autoSpaceDN/>
        <w:bidi w:val="0"/>
        <w:adjustRightInd/>
        <w:snapToGrid/>
        <w:spacing w:line="500" w:lineRule="exact"/>
        <w:ind w:firstLine="1280" w:firstLineChars="400"/>
        <w:textAlignment w:val="auto"/>
        <w:rPr>
          <w:rFonts w:hint="eastAsia" w:ascii="仿宋" w:hAnsi="仿宋" w:eastAsia="仿宋" w:cs="仿宋"/>
          <w:color w:val="000000" w:themeColor="text1"/>
          <w:sz w:val="32"/>
          <w:szCs w:val="32"/>
          <w:u w:val="none"/>
          <w:lang w:val="en-US"/>
        </w:rPr>
      </w:pPr>
      <w:r>
        <w:rPr>
          <w:rFonts w:hint="eastAsia" w:ascii="仿宋" w:hAnsi="仿宋" w:eastAsia="仿宋" w:cs="仿宋"/>
          <w:color w:val="000000" w:themeColor="text1"/>
          <w:sz w:val="32"/>
          <w:szCs w:val="32"/>
          <w:u w:val="none"/>
        </w:rPr>
        <w:t xml:space="preserve">公务用车运行维护费 </w:t>
      </w:r>
      <w:r>
        <w:rPr>
          <w:rFonts w:hint="eastAsia" w:ascii="仿宋" w:hAnsi="仿宋" w:eastAsia="仿宋" w:cs="仿宋"/>
          <w:color w:val="000000" w:themeColor="text1"/>
          <w:sz w:val="32"/>
          <w:szCs w:val="32"/>
          <w:u w:val="none"/>
          <w:lang w:val="en-US" w:eastAsia="zh-CN"/>
        </w:rPr>
        <w:t>4.00</w:t>
      </w:r>
      <w:r>
        <w:rPr>
          <w:rFonts w:hint="eastAsia" w:ascii="仿宋" w:hAnsi="仿宋" w:eastAsia="仿宋" w:cs="仿宋"/>
          <w:color w:val="000000" w:themeColor="text1"/>
          <w:sz w:val="32"/>
          <w:szCs w:val="32"/>
          <w:u w:val="none"/>
        </w:rPr>
        <w:t xml:space="preserve"> 万元，同比</w:t>
      </w:r>
      <w:r>
        <w:rPr>
          <w:rFonts w:hint="eastAsia" w:ascii="仿宋" w:hAnsi="仿宋" w:eastAsia="仿宋" w:cs="仿宋"/>
          <w:color w:val="000000" w:themeColor="text1"/>
          <w:sz w:val="32"/>
          <w:szCs w:val="32"/>
          <w:u w:val="none"/>
          <w:lang w:val="en-US" w:eastAsia="zh-CN"/>
        </w:rPr>
        <w:t>减少</w:t>
      </w:r>
      <w:r>
        <w:rPr>
          <w:rFonts w:hint="eastAsia" w:ascii="仿宋" w:hAnsi="仿宋" w:eastAsia="仿宋" w:cs="仿宋"/>
          <w:color w:val="000000" w:themeColor="text1"/>
          <w:sz w:val="32"/>
          <w:szCs w:val="32"/>
          <w:u w:val="none"/>
        </w:rPr>
        <w:t xml:space="preserve"> </w:t>
      </w:r>
      <w:r>
        <w:rPr>
          <w:rFonts w:hint="eastAsia" w:ascii="仿宋" w:hAnsi="仿宋" w:eastAsia="仿宋" w:cs="仿宋"/>
          <w:color w:val="000000" w:themeColor="text1"/>
          <w:sz w:val="32"/>
          <w:szCs w:val="32"/>
          <w:u w:val="none"/>
          <w:lang w:val="en-US" w:eastAsia="zh-CN"/>
        </w:rPr>
        <w:t xml:space="preserve">1.00 </w:t>
      </w:r>
      <w:r>
        <w:rPr>
          <w:rFonts w:hint="eastAsia" w:ascii="仿宋" w:hAnsi="仿宋" w:eastAsia="仿宋" w:cs="仿宋"/>
          <w:color w:val="000000" w:themeColor="text1"/>
          <w:sz w:val="32"/>
          <w:szCs w:val="32"/>
          <w:u w:val="none"/>
        </w:rPr>
        <w:t>万元。</w:t>
      </w:r>
      <w:r>
        <w:rPr>
          <w:rFonts w:hint="eastAsia" w:ascii="仿宋" w:hAnsi="仿宋" w:eastAsia="仿宋" w:cs="仿宋"/>
          <w:color w:val="000000" w:themeColor="text1"/>
          <w:sz w:val="32"/>
          <w:szCs w:val="32"/>
          <w:u w:val="none"/>
          <w:lang w:eastAsia="zh-CN"/>
        </w:rPr>
        <w:t>增加的主要原因是：</w:t>
      </w:r>
      <w:r>
        <w:rPr>
          <w:rFonts w:hint="eastAsia" w:ascii="仿宋" w:hAnsi="仿宋" w:eastAsia="仿宋" w:cs="仿宋"/>
          <w:bCs/>
          <w:color w:val="000000" w:themeColor="text1"/>
          <w:sz w:val="32"/>
          <w:szCs w:val="32"/>
          <w:u w:val="none"/>
          <w:lang w:val="en-US" w:eastAsia="zh-CN"/>
        </w:rPr>
        <w:t>压减三公经费支出，严控车辆运行。</w:t>
      </w:r>
    </w:p>
    <w:p>
      <w:pPr>
        <w:numPr>
          <w:ilvl w:val="0"/>
          <w:numId w:val="3"/>
        </w:numPr>
        <w:spacing w:line="500" w:lineRule="exact"/>
        <w:ind w:firstLine="640" w:firstLineChars="200"/>
        <w:rPr>
          <w:rFonts w:hint="eastAsia" w:ascii="仿宋" w:hAnsi="仿宋" w:eastAsia="仿宋" w:cs="仿宋"/>
          <w:color w:val="000000" w:themeColor="text1"/>
          <w:sz w:val="32"/>
          <w:szCs w:val="32"/>
          <w:u w:val="none"/>
        </w:rPr>
      </w:pPr>
      <w:r>
        <w:rPr>
          <w:rFonts w:hint="eastAsia" w:ascii="仿宋" w:hAnsi="仿宋" w:eastAsia="仿宋" w:cs="仿宋"/>
          <w:color w:val="000000" w:themeColor="text1"/>
          <w:sz w:val="32"/>
          <w:szCs w:val="32"/>
          <w:u w:val="none"/>
        </w:rPr>
        <w:t xml:space="preserve">公务接待费 </w:t>
      </w:r>
      <w:r>
        <w:rPr>
          <w:rFonts w:hint="eastAsia" w:ascii="仿宋" w:hAnsi="仿宋" w:eastAsia="仿宋" w:cs="仿宋"/>
          <w:color w:val="000000" w:themeColor="text1"/>
          <w:sz w:val="32"/>
          <w:szCs w:val="32"/>
          <w:u w:val="none"/>
          <w:lang w:val="en-US" w:eastAsia="zh-CN"/>
        </w:rPr>
        <w:t>1.00</w:t>
      </w:r>
      <w:r>
        <w:rPr>
          <w:rFonts w:hint="eastAsia" w:ascii="仿宋" w:hAnsi="仿宋" w:eastAsia="仿宋" w:cs="仿宋"/>
          <w:color w:val="000000" w:themeColor="text1"/>
          <w:sz w:val="32"/>
          <w:szCs w:val="32"/>
          <w:u w:val="none"/>
        </w:rPr>
        <w:t xml:space="preserve"> 万元，与201</w:t>
      </w:r>
      <w:r>
        <w:rPr>
          <w:rFonts w:hint="eastAsia" w:ascii="仿宋" w:hAnsi="仿宋" w:eastAsia="仿宋" w:cs="仿宋"/>
          <w:color w:val="000000" w:themeColor="text1"/>
          <w:sz w:val="32"/>
          <w:szCs w:val="32"/>
          <w:u w:val="none"/>
          <w:lang w:val="en-US" w:eastAsia="zh-CN"/>
        </w:rPr>
        <w:t>9</w:t>
      </w:r>
      <w:r>
        <w:rPr>
          <w:rFonts w:hint="eastAsia" w:ascii="仿宋" w:hAnsi="仿宋" w:eastAsia="仿宋" w:cs="仿宋"/>
          <w:color w:val="000000" w:themeColor="text1"/>
          <w:sz w:val="32"/>
          <w:szCs w:val="32"/>
          <w:u w:val="none"/>
        </w:rPr>
        <w:t>年相比无增减变化。</w:t>
      </w:r>
    </w:p>
    <w:p>
      <w:pPr>
        <w:numPr>
          <w:ilvl w:val="0"/>
          <w:numId w:val="2"/>
        </w:numPr>
        <w:ind w:left="0" w:leftChars="0"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绩效预算信息</w:t>
      </w:r>
    </w:p>
    <w:p>
      <w:pPr>
        <w:autoSpaceDE w:val="0"/>
        <w:autoSpaceDN w:val="0"/>
        <w:adjustRightInd w:val="0"/>
        <w:ind w:left="198" w:firstLine="640" w:firstLineChars="200"/>
        <w:jc w:val="left"/>
        <w:rPr>
          <w:rFonts w:hint="default" w:ascii="黑体" w:hAnsi="黑体" w:eastAsia="黑体" w:cs="Times New Roman"/>
          <w:b/>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黑体" w:hAnsi="黑体" w:eastAsia="黑体" w:cs="Times New Roman"/>
          <w:b/>
          <w:sz w:val="32"/>
          <w:szCs w:val="32"/>
          <w:lang w:eastAsia="zh-CN"/>
        </w:rPr>
        <w:t>第一部分</w:t>
      </w:r>
      <w:r>
        <w:rPr>
          <w:rFonts w:hint="eastAsia" w:ascii="黑体" w:hAnsi="黑体" w:eastAsia="黑体" w:cs="Times New Roman"/>
          <w:b/>
          <w:sz w:val="32"/>
          <w:szCs w:val="32"/>
          <w:lang w:val="en-US" w:eastAsia="zh-CN"/>
        </w:rPr>
        <w:t xml:space="preserve"> 部门整体绩效目标</w:t>
      </w:r>
    </w:p>
    <w:p>
      <w:pPr>
        <w:keepNext w:val="0"/>
        <w:keepLines w:val="0"/>
        <w:pageBreakBefore w:val="0"/>
        <w:widowControl/>
        <w:shd w:val="clear" w:color="000000" w:fill="FFFFFF"/>
        <w:tabs>
          <w:tab w:val="left" w:pos="567"/>
        </w:tabs>
        <w:kinsoku/>
        <w:wordWrap/>
        <w:overflowPunct/>
        <w:topLinePunct w:val="0"/>
        <w:autoSpaceDE/>
        <w:autoSpaceDN/>
        <w:bidi w:val="0"/>
        <w:spacing w:line="560" w:lineRule="exact"/>
        <w:ind w:firstLine="640"/>
        <w:textAlignment w:val="auto"/>
        <w:rPr>
          <w:rFonts w:hint="eastAsia" w:eastAsia="仿宋_GB2312"/>
          <w:snapToGrid w:val="0"/>
          <w:kern w:val="0"/>
          <w:sz w:val="32"/>
          <w:szCs w:val="36"/>
        </w:rPr>
      </w:pPr>
      <w:bookmarkStart w:id="0" w:name="_Toc471398463"/>
      <w:r>
        <w:rPr>
          <w:rFonts w:hint="eastAsia" w:ascii="黑体" w:hAnsi="黑体" w:eastAsia="黑体" w:cs="黑体"/>
          <w:b/>
          <w:sz w:val="32"/>
          <w:szCs w:val="32"/>
        </w:rPr>
        <w:t>（一）总体绩效目标：</w:t>
      </w:r>
      <w:r>
        <w:rPr>
          <w:rFonts w:hint="eastAsia" w:ascii="仿宋_GB2312" w:eastAsia="仿宋_GB2312"/>
          <w:sz w:val="32"/>
          <w:szCs w:val="32"/>
        </w:rPr>
        <w:t>为加快我县城乡统筹发展步伐，</w:t>
      </w:r>
      <w:r>
        <w:rPr>
          <w:rFonts w:hint="eastAsia" w:ascii="仿宋_GB2312" w:hAnsi="仿宋" w:eastAsia="仿宋_GB2312"/>
          <w:sz w:val="32"/>
          <w:szCs w:val="32"/>
          <w:lang w:eastAsia="zh-CN"/>
        </w:rPr>
        <w:t>巩固提升农村</w:t>
      </w:r>
      <w:r>
        <w:rPr>
          <w:rFonts w:hint="eastAsia" w:ascii="仿宋_GB2312" w:hAnsi="仿宋" w:eastAsia="仿宋_GB2312"/>
          <w:sz w:val="32"/>
          <w:szCs w:val="32"/>
        </w:rPr>
        <w:t>基础设施和</w:t>
      </w:r>
      <w:r>
        <w:rPr>
          <w:rFonts w:hint="eastAsia" w:ascii="仿宋_GB2312" w:hAnsi="仿宋" w:eastAsia="仿宋_GB2312"/>
          <w:sz w:val="32"/>
          <w:szCs w:val="32"/>
          <w:lang w:eastAsia="zh-CN"/>
        </w:rPr>
        <w:t>人居环境条件</w:t>
      </w:r>
      <w:r>
        <w:rPr>
          <w:rFonts w:hint="eastAsia" w:ascii="仿宋_GB2312" w:hAnsi="仿宋" w:eastAsia="仿宋_GB2312"/>
          <w:sz w:val="32"/>
          <w:szCs w:val="32"/>
        </w:rPr>
        <w:t>，</w:t>
      </w:r>
      <w:r>
        <w:rPr>
          <w:rFonts w:hint="eastAsia" w:ascii="仿宋_GB2312" w:eastAsia="仿宋_GB2312"/>
          <w:sz w:val="32"/>
          <w:szCs w:val="32"/>
        </w:rPr>
        <w:t>提升农民群众幸福指数，</w:t>
      </w:r>
      <w:r>
        <w:rPr>
          <w:rFonts w:hint="eastAsia" w:ascii="仿宋_GB2312" w:hAnsi="仿宋" w:eastAsia="仿宋_GB2312"/>
          <w:sz w:val="32"/>
          <w:szCs w:val="32"/>
        </w:rPr>
        <w:t>确保脱贫人口稳定脱贫不返贫，稳步提高贫困群众生产生活水平，</w:t>
      </w:r>
      <w:r>
        <w:rPr>
          <w:rFonts w:hint="eastAsia" w:ascii="仿宋_GB2312" w:eastAsia="仿宋_GB2312"/>
          <w:sz w:val="32"/>
          <w:szCs w:val="32"/>
          <w:lang w:eastAsia="zh-CN"/>
        </w:rPr>
        <w:t>保证</w:t>
      </w:r>
      <w:r>
        <w:rPr>
          <w:rFonts w:hint="eastAsia" w:ascii="仿宋_GB2312" w:eastAsia="仿宋_GB2312"/>
          <w:sz w:val="32"/>
          <w:szCs w:val="32"/>
        </w:rPr>
        <w:t>民生工程顺利推进，</w:t>
      </w:r>
      <w:r>
        <w:rPr>
          <w:rFonts w:hint="eastAsia" w:ascii="仿宋_GB2312" w:hAnsi="仿宋" w:eastAsia="仿宋_GB2312"/>
          <w:sz w:val="32"/>
          <w:szCs w:val="32"/>
        </w:rPr>
        <w:t>特制订</w:t>
      </w:r>
      <w:r>
        <w:rPr>
          <w:rFonts w:hint="eastAsia" w:ascii="仿宋_GB2312" w:eastAsia="仿宋_GB2312"/>
          <w:sz w:val="32"/>
          <w:szCs w:val="32"/>
        </w:rPr>
        <w:t>此实施方案。</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——村容村貌干净整洁。</w:t>
      </w:r>
      <w:r>
        <w:rPr>
          <w:rFonts w:hint="eastAsia" w:ascii="仿宋_GB2312" w:eastAsia="仿宋_GB2312"/>
          <w:sz w:val="32"/>
          <w:szCs w:val="32"/>
        </w:rPr>
        <w:t>村庄规划科学合理，民居建筑富有特色，大街小巷硬化通畅，村内村外、房前屋后、庭院内外清洁干净。</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——生态环境清新优美。</w:t>
      </w:r>
      <w:r>
        <w:rPr>
          <w:rFonts w:hint="eastAsia" w:ascii="仿宋_GB2312" w:eastAsia="仿宋_GB2312"/>
          <w:sz w:val="32"/>
          <w:szCs w:val="32"/>
        </w:rPr>
        <w:t>田园、水源、家园清洁，生产方式和生活方式绿色低碳，生态支撑能力显著增强，天蓝、地绿、水清、土净的宜居乡村</w:t>
      </w:r>
      <w:r>
        <w:rPr>
          <w:rFonts w:hint="eastAsia" w:ascii="仿宋_GB2312" w:eastAsia="仿宋_GB2312"/>
          <w:sz w:val="32"/>
          <w:szCs w:val="32"/>
          <w:lang w:eastAsia="zh-CN"/>
        </w:rPr>
        <w:t>全面</w:t>
      </w:r>
      <w:r>
        <w:rPr>
          <w:rFonts w:hint="eastAsia" w:ascii="仿宋_GB2312" w:eastAsia="仿宋_GB2312"/>
          <w:sz w:val="32"/>
          <w:szCs w:val="32"/>
        </w:rPr>
        <w:t>展现。</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rPr>
      </w:pPr>
      <w:r>
        <w:rPr>
          <w:rFonts w:hint="eastAsia" w:ascii="仿宋_GB2312" w:eastAsia="仿宋_GB2312"/>
          <w:b/>
          <w:sz w:val="32"/>
          <w:szCs w:val="32"/>
        </w:rPr>
        <w:t>——公共服务完善配套。</w:t>
      </w:r>
      <w:r>
        <w:rPr>
          <w:rFonts w:hint="eastAsia" w:ascii="仿宋_GB2312" w:eastAsia="仿宋_GB2312"/>
          <w:sz w:val="32"/>
          <w:szCs w:val="32"/>
        </w:rPr>
        <w:t>公共服务基础设施不断完善，社会保障体系更加完备，公共服务水平稳步提高，常态化管理机制基本形成。</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仿宋_GB2312" w:eastAsia="仿宋_GB2312"/>
          <w:b/>
          <w:sz w:val="32"/>
          <w:szCs w:val="32"/>
        </w:rPr>
        <w:t>——农村社会和谐文明。</w:t>
      </w:r>
      <w:r>
        <w:rPr>
          <w:rFonts w:hint="eastAsia" w:ascii="仿宋_GB2312" w:eastAsia="仿宋_GB2312"/>
          <w:sz w:val="32"/>
          <w:szCs w:val="32"/>
        </w:rPr>
        <w:t>物质文明、精神文明协调共建，社会主义核心价值观在广大农村落地生根，农村社会综合治理不断创新，村庄平安和谐，村风健康向上，农民安居乐业。</w:t>
      </w:r>
    </w:p>
    <w:p>
      <w:pPr>
        <w:keepNext w:val="0"/>
        <w:keepLines w:val="0"/>
        <w:pageBreakBefore w:val="0"/>
        <w:numPr>
          <w:ilvl w:val="0"/>
          <w:numId w:val="5"/>
        </w:numPr>
        <w:kinsoku/>
        <w:wordWrap/>
        <w:overflowPunct/>
        <w:topLinePunct w:val="0"/>
        <w:autoSpaceDE/>
        <w:autoSpaceDN/>
        <w:bidi w:val="0"/>
        <w:adjustRightInd w:val="0"/>
        <w:snapToGrid w:val="0"/>
        <w:spacing w:line="560" w:lineRule="exact"/>
        <w:ind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分项绩效目标：</w:t>
      </w:r>
    </w:p>
    <w:p>
      <w:pPr>
        <w:keepNext w:val="0"/>
        <w:keepLines w:val="0"/>
        <w:pageBreakBefore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 w:eastAsia="仿宋_GB2312"/>
          <w:sz w:val="32"/>
          <w:szCs w:val="32"/>
        </w:rPr>
      </w:pP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lang w:eastAsia="zh-CN"/>
        </w:rPr>
        <w:t>全面</w:t>
      </w:r>
      <w:r>
        <w:rPr>
          <w:rFonts w:hint="eastAsia" w:ascii="楷体_GB2312" w:hAnsi="楷体_GB2312" w:eastAsia="楷体_GB2312" w:cs="楷体_GB2312"/>
          <w:b/>
          <w:bCs/>
          <w:sz w:val="32"/>
          <w:szCs w:val="32"/>
        </w:rPr>
        <w:t>提升农村公路路网建设水平</w:t>
      </w:r>
      <w:r>
        <w:rPr>
          <w:rFonts w:hint="eastAsia" w:ascii="楷体_GB2312" w:hAnsi="楷体_GB2312" w:eastAsia="楷体_GB2312" w:cs="楷体_GB2312"/>
          <w:b/>
          <w:bCs/>
          <w:sz w:val="32"/>
          <w:szCs w:val="32"/>
          <w:lang w:eastAsia="zh-CN"/>
        </w:rPr>
        <w:t>。</w:t>
      </w:r>
      <w:r>
        <w:rPr>
          <w:rFonts w:hint="eastAsia" w:ascii="仿宋_GB2312" w:hAnsi="仿宋" w:eastAsia="仿宋_GB2312"/>
          <w:sz w:val="32"/>
          <w:szCs w:val="32"/>
        </w:rPr>
        <w:t>全面提升全</w:t>
      </w:r>
      <w:r>
        <w:rPr>
          <w:rFonts w:hint="eastAsia" w:ascii="仿宋_GB2312" w:hAnsi="仿宋" w:eastAsia="仿宋_GB2312"/>
          <w:sz w:val="32"/>
          <w:szCs w:val="32"/>
          <w:lang w:eastAsia="zh-CN"/>
        </w:rPr>
        <w:t>县</w:t>
      </w:r>
      <w:r>
        <w:rPr>
          <w:rFonts w:hint="eastAsia" w:ascii="仿宋_GB2312" w:hAnsi="仿宋" w:eastAsia="仿宋_GB2312"/>
          <w:sz w:val="32"/>
          <w:szCs w:val="32"/>
        </w:rPr>
        <w:t>农村公路路网畅通水平、交通通达条件和综合服务能力，积极争取农村破损路修复项目，结合群众需求，修建农村便民桥等项目，全面推进“四好”农村路建设，实施“幸福小康路”、“平安放心路”、“特色致富路”、“品质农村路”工程，加快推进农村公路品质提升。继续推进县、乡、村公路建设，在中心村全部通公路的基础上，推动公路向自然村延伸。抓好南三营至北京界段“三改二”，鱼儿山至土城沟段、毫村沟门至太阳店段等县级公路和长阁至选将营、辛营至二道梁等重点乡级公路改造工程，提高城乡交通便捷性。加强城乡公共交通一体化建设，进一步方便群众出行。到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完成乡级公路建设112.8公里，所有乡级公路全部硬化；完成800公里的村村通公路建设，使全县20户以上自然村通水泥（沥青）路；改善200公里村组便道和田间路；加快村内巷道的建设，使部分自然村村内巷道得到硬化。</w:t>
      </w:r>
    </w:p>
    <w:p>
      <w:pPr>
        <w:spacing w:line="560" w:lineRule="exact"/>
        <w:ind w:firstLine="643" w:firstLineChars="200"/>
        <w:rPr>
          <w:rFonts w:hint="eastAsia" w:ascii="仿宋_GB2312" w:hAnsi="宋体" w:eastAsia="仿宋_GB2312" w:cs="Arial"/>
          <w:color w:val="000000"/>
          <w:kern w:val="0"/>
          <w:sz w:val="32"/>
          <w:szCs w:val="32"/>
        </w:rPr>
      </w:pPr>
      <w:r>
        <w:rPr>
          <w:rFonts w:hint="eastAsia" w:ascii="楷体_GB2312" w:eastAsia="楷体_GB2312"/>
          <w:b/>
          <w:bCs/>
          <w:sz w:val="32"/>
          <w:szCs w:val="32"/>
          <w:lang w:val="en-US" w:eastAsia="zh-CN"/>
        </w:rPr>
        <w:t>2、</w:t>
      </w:r>
      <w:r>
        <w:rPr>
          <w:rFonts w:hint="eastAsia" w:ascii="楷体_GB2312" w:eastAsia="楷体_GB2312"/>
          <w:b/>
          <w:bCs/>
          <w:sz w:val="32"/>
          <w:szCs w:val="32"/>
          <w:lang w:eastAsia="zh-CN"/>
        </w:rPr>
        <w:t>强化</w:t>
      </w:r>
      <w:r>
        <w:rPr>
          <w:rFonts w:hint="eastAsia" w:ascii="楷体_GB2312" w:eastAsia="楷体_GB2312"/>
          <w:b/>
          <w:bCs/>
          <w:sz w:val="32"/>
          <w:szCs w:val="32"/>
        </w:rPr>
        <w:t>农村</w:t>
      </w:r>
      <w:r>
        <w:rPr>
          <w:rFonts w:hint="eastAsia" w:ascii="楷体_GB2312" w:eastAsia="楷体_GB2312"/>
          <w:b/>
          <w:bCs/>
          <w:sz w:val="32"/>
          <w:szCs w:val="32"/>
          <w:lang w:eastAsia="zh-CN"/>
        </w:rPr>
        <w:t>水利</w:t>
      </w:r>
      <w:r>
        <w:rPr>
          <w:rFonts w:hint="eastAsia" w:ascii="楷体_GB2312" w:eastAsia="楷体_GB2312"/>
          <w:b/>
          <w:bCs/>
          <w:sz w:val="32"/>
          <w:szCs w:val="32"/>
        </w:rPr>
        <w:t>工程建设</w:t>
      </w:r>
      <w:r>
        <w:rPr>
          <w:rFonts w:hint="eastAsia" w:ascii="楷体_GB2312" w:eastAsia="楷体_GB2312"/>
          <w:b/>
          <w:bCs/>
          <w:sz w:val="32"/>
          <w:szCs w:val="32"/>
          <w:lang w:eastAsia="zh-CN"/>
        </w:rPr>
        <w:t>力度</w:t>
      </w:r>
      <w:r>
        <w:rPr>
          <w:rFonts w:hint="eastAsia" w:ascii="楷体_GB2312" w:eastAsia="楷体_GB2312"/>
          <w:b/>
          <w:bCs/>
          <w:sz w:val="32"/>
          <w:szCs w:val="32"/>
        </w:rPr>
        <w:t>。</w:t>
      </w:r>
      <w:r>
        <w:rPr>
          <w:rFonts w:hint="eastAsia" w:ascii="仿宋_GB2312" w:hAnsi="仿宋" w:eastAsia="仿宋_GB2312"/>
          <w:sz w:val="32"/>
          <w:szCs w:val="32"/>
        </w:rPr>
        <w:t>实施农村饮水安全巩固提升工程，推进农村饮水安全工程建设，提高农村饮水安全工程供水保证率，全面解决贫困村群众的饮水安全问题。推进土地整治和高标准农田建设，加快中低产田改造，合理开发利用水资源，</w:t>
      </w:r>
      <w:r>
        <w:rPr>
          <w:rFonts w:hint="eastAsia" w:ascii="仿宋_GB2312" w:hAnsi="仿宋" w:eastAsia="仿宋_GB2312"/>
          <w:sz w:val="32"/>
          <w:szCs w:val="32"/>
          <w:lang w:eastAsia="zh-CN"/>
        </w:rPr>
        <w:t>强化</w:t>
      </w:r>
      <w:r>
        <w:rPr>
          <w:rFonts w:hint="eastAsia" w:ascii="仿宋_GB2312" w:hAnsi="仿宋" w:eastAsia="仿宋_GB2312"/>
          <w:sz w:val="32"/>
          <w:szCs w:val="32"/>
        </w:rPr>
        <w:t>灌区渠系配套建设，加强水源涵养，推进农田水利节水工程建设，实施重点灌区节水改造，同时大力发展小城镇集中供水和水处理建设，加强供水管网建设及维护。到2020年，完成12.5万亩农田和牧区的微滴灌建设，完成300眼机井和1.5万米农田防护坝的建设，完成农村饮水提质增效项目，基本解决10万农村人口的饮水安全，争取3个重点水库开工建设、完成15条重点河道及山洪沟共231公里综合治理工程、完成10万亩高效节水灌溉建设。</w:t>
      </w:r>
      <w:r>
        <w:rPr>
          <w:rFonts w:hint="eastAsia" w:ascii="仿宋_GB2312" w:hAnsi="仿宋" w:eastAsia="仿宋_GB2312"/>
          <w:sz w:val="32"/>
          <w:szCs w:val="32"/>
          <w:lang w:val="en-US" w:eastAsia="zh-CN"/>
        </w:rPr>
        <w:t>2021年</w:t>
      </w:r>
      <w:r>
        <w:rPr>
          <w:rFonts w:hint="eastAsia" w:ascii="仿宋_GB2312" w:hAnsi="宋体" w:eastAsia="仿宋_GB2312"/>
          <w:bCs/>
          <w:sz w:val="32"/>
          <w:szCs w:val="32"/>
        </w:rPr>
        <w:t>以贫困村安全饮水巩固提升为重点，继续实施</w:t>
      </w:r>
      <w:r>
        <w:rPr>
          <w:rFonts w:hint="eastAsia" w:ascii="仿宋_GB2312" w:hAnsi="宋体" w:eastAsia="仿宋_GB2312"/>
          <w:bCs/>
          <w:sz w:val="32"/>
          <w:szCs w:val="32"/>
          <w:lang w:eastAsia="zh-CN"/>
        </w:rPr>
        <w:t>自来水入户项目</w:t>
      </w:r>
      <w:r>
        <w:rPr>
          <w:rFonts w:hint="eastAsia" w:ascii="仿宋_GB2312" w:hAnsi="宋体" w:eastAsia="仿宋_GB2312"/>
          <w:bCs/>
          <w:sz w:val="32"/>
          <w:szCs w:val="32"/>
        </w:rPr>
        <w:t>，</w:t>
      </w:r>
      <w:r>
        <w:rPr>
          <w:rFonts w:hint="eastAsia" w:ascii="仿宋_GB2312" w:hAnsi="宋体" w:eastAsia="仿宋_GB2312" w:cs="Arial"/>
          <w:color w:val="000000"/>
          <w:kern w:val="0"/>
          <w:sz w:val="32"/>
          <w:szCs w:val="32"/>
        </w:rPr>
        <w:t>涉及全</w:t>
      </w:r>
      <w:r>
        <w:rPr>
          <w:rFonts w:hint="eastAsia" w:ascii="仿宋_GB2312" w:hAnsi="宋体" w:eastAsia="仿宋_GB2312" w:cs="Arial"/>
          <w:color w:val="000000"/>
          <w:kern w:val="0"/>
          <w:sz w:val="32"/>
          <w:szCs w:val="32"/>
          <w:lang w:eastAsia="zh-CN"/>
        </w:rPr>
        <w:t>县</w:t>
      </w:r>
      <w:r>
        <w:rPr>
          <w:rFonts w:hint="eastAsia" w:ascii="仿宋_GB2312" w:hAnsi="宋体" w:eastAsia="仿宋_GB2312" w:cs="Arial"/>
          <w:color w:val="000000"/>
          <w:kern w:val="0"/>
          <w:sz w:val="32"/>
          <w:szCs w:val="32"/>
        </w:rPr>
        <w:t>1</w:t>
      </w:r>
      <w:r>
        <w:rPr>
          <w:rFonts w:hint="eastAsia" w:ascii="仿宋_GB2312" w:hAnsi="宋体" w:eastAsia="仿宋_GB2312" w:cs="Arial"/>
          <w:color w:val="000000"/>
          <w:kern w:val="0"/>
          <w:sz w:val="32"/>
          <w:szCs w:val="32"/>
          <w:lang w:val="en-US" w:eastAsia="zh-CN"/>
        </w:rPr>
        <w:t>7</w:t>
      </w:r>
      <w:r>
        <w:rPr>
          <w:rFonts w:hint="eastAsia" w:ascii="仿宋_GB2312" w:hAnsi="宋体" w:eastAsia="仿宋_GB2312" w:cs="Arial"/>
          <w:color w:val="000000"/>
          <w:kern w:val="0"/>
          <w:sz w:val="32"/>
          <w:szCs w:val="32"/>
        </w:rPr>
        <w:t>个乡镇</w:t>
      </w:r>
      <w:r>
        <w:rPr>
          <w:rFonts w:hint="eastAsia" w:ascii="仿宋_GB2312" w:hAnsi="宋体" w:eastAsia="仿宋_GB2312" w:cs="Arial"/>
          <w:color w:val="000000"/>
          <w:kern w:val="0"/>
          <w:sz w:val="32"/>
          <w:szCs w:val="32"/>
          <w:lang w:val="en-US" w:eastAsia="zh-CN"/>
        </w:rPr>
        <w:t>32</w:t>
      </w:r>
      <w:r>
        <w:rPr>
          <w:rFonts w:hint="eastAsia" w:ascii="仿宋_GB2312" w:hAnsi="宋体" w:eastAsia="仿宋_GB2312" w:cs="Arial"/>
          <w:color w:val="000000"/>
          <w:kern w:val="0"/>
          <w:sz w:val="32"/>
          <w:szCs w:val="32"/>
        </w:rPr>
        <w:t>个行政村的</w:t>
      </w:r>
      <w:r>
        <w:rPr>
          <w:rFonts w:hint="eastAsia" w:ascii="仿宋_GB2312" w:hAnsi="宋体" w:eastAsia="仿宋_GB2312" w:cs="Arial"/>
          <w:color w:val="000000"/>
          <w:kern w:val="0"/>
          <w:sz w:val="32"/>
          <w:szCs w:val="32"/>
          <w:lang w:val="en-US" w:eastAsia="zh-CN"/>
        </w:rPr>
        <w:t>42</w:t>
      </w:r>
      <w:r>
        <w:rPr>
          <w:rFonts w:hint="eastAsia" w:ascii="仿宋_GB2312" w:hAnsi="宋体" w:eastAsia="仿宋_GB2312" w:cs="Arial"/>
          <w:color w:val="000000"/>
          <w:kern w:val="0"/>
          <w:sz w:val="32"/>
          <w:szCs w:val="32"/>
        </w:rPr>
        <w:t>处工程。</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 w:eastAsia="仿宋_GB2312"/>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lang w:eastAsia="zh-CN"/>
        </w:rPr>
        <w:t>推进</w:t>
      </w:r>
      <w:r>
        <w:rPr>
          <w:rFonts w:hint="eastAsia" w:ascii="楷体_GB2312" w:hAnsi="楷体_GB2312" w:eastAsia="楷体_GB2312" w:cs="楷体_GB2312"/>
          <w:b/>
          <w:bCs/>
          <w:sz w:val="32"/>
          <w:szCs w:val="32"/>
        </w:rPr>
        <w:t>农村新能源开发利用。</w:t>
      </w:r>
      <w:r>
        <w:rPr>
          <w:rFonts w:hint="eastAsia" w:ascii="仿宋_GB2312" w:hAnsi="仿宋" w:eastAsia="仿宋_GB2312"/>
          <w:sz w:val="32"/>
          <w:szCs w:val="32"/>
        </w:rPr>
        <w:t>推进绿色能源县建设，进一步加强农村沼气、太阳能热水器、太阳灶等能源利用项目建设，提高普及率和利用率。积极发展适合农村生产、生活的清洁能源，普及农村沼气、提高沼气设施综合利用率，提高农村秸秆粪便综合利用率，推进农村环境综合整治。</w:t>
      </w:r>
      <w:r>
        <w:rPr>
          <w:rFonts w:hint="eastAsia" w:ascii="仿宋_GB2312" w:hAnsi="仿宋" w:eastAsia="仿宋_GB2312"/>
          <w:sz w:val="32"/>
          <w:szCs w:val="32"/>
          <w:lang w:val="en-US" w:eastAsia="zh-CN"/>
        </w:rPr>
        <w:t>2019年</w:t>
      </w:r>
      <w:r>
        <w:rPr>
          <w:rFonts w:hint="eastAsia" w:ascii="仿宋_GB2312" w:hAnsi="仿宋" w:eastAsia="仿宋_GB2312"/>
          <w:sz w:val="32"/>
          <w:szCs w:val="32"/>
        </w:rPr>
        <w:t>到202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w:t>
      </w:r>
      <w:r>
        <w:rPr>
          <w:rFonts w:hint="eastAsia" w:ascii="仿宋_GB2312" w:hAnsi="仿宋" w:eastAsia="仿宋_GB2312"/>
          <w:sz w:val="32"/>
          <w:szCs w:val="32"/>
          <w:lang w:eastAsia="zh-CN"/>
        </w:rPr>
        <w:t>利用三年时间</w:t>
      </w:r>
      <w:r>
        <w:rPr>
          <w:rFonts w:hint="eastAsia" w:ascii="仿宋_GB2312" w:hAnsi="仿宋" w:eastAsia="仿宋_GB2312"/>
          <w:sz w:val="32"/>
          <w:szCs w:val="32"/>
        </w:rPr>
        <w:t>，在全县农村对沼气用户进行技术咨询服务，使其发挥最大的经济和生态效益。继续推进农村新能源建设，拟推广太阳能热水器30000台，太阳灶5000台，太阳能路灯30000盏，节能吊炕8000个，清洁燃烧炉具8000台，大中型沼气工程1处，煤改太阳能3000户，煤改地热3000户，煤改电1000户，煤改天然气20000户。</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eastAsia="仿宋_GB2312"/>
          <w:sz w:val="30"/>
          <w:szCs w:val="30"/>
        </w:rPr>
      </w:pPr>
      <w:r>
        <w:rPr>
          <w:rFonts w:hint="eastAsia" w:ascii="楷体_GB2312" w:eastAsia="楷体_GB2312"/>
          <w:b/>
          <w:bCs/>
          <w:kern w:val="0"/>
          <w:sz w:val="32"/>
          <w:szCs w:val="32"/>
          <w:lang w:val="en-US" w:eastAsia="zh-CN"/>
        </w:rPr>
        <w:t>4、</w:t>
      </w:r>
      <w:r>
        <w:rPr>
          <w:rFonts w:hint="eastAsia" w:ascii="楷体_GB2312" w:eastAsia="楷体_GB2312"/>
          <w:b/>
          <w:bCs/>
          <w:kern w:val="0"/>
          <w:sz w:val="32"/>
          <w:szCs w:val="32"/>
        </w:rPr>
        <w:t>加强农村网络通信工程建设。</w:t>
      </w:r>
      <w:r>
        <w:rPr>
          <w:rFonts w:hint="eastAsia" w:ascii="仿宋_GB2312" w:eastAsia="仿宋_GB2312"/>
          <w:sz w:val="32"/>
          <w:szCs w:val="32"/>
        </w:rPr>
        <w:t>加快现代通信网络建设，建设光纤通信、移动通信、微波通信、卫星通信相结合的现代通信体系，推进县城数字城市建设项目，大力推进电商平台、宽带光纤化、三网合一、3G和4G村村通建设工程，促进光纤进社区、达乡镇、通行政村。实现无线通信信号全覆盖，网络信号全覆盖。提高信息化服务水平，以政务信息化、旅游信息化、农业与农村信息化、社会公共服务信息化等为重点，拓展互联网+的应用，建立基本完善的信息服务体系，发展和提升电子政务、远程教育、远程医疗等服务能力，增强突发性事件的应急能力。加快推进互联网+扶贫进程，促进工农业产品实现电商网店销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sz w:val="32"/>
          <w:szCs w:val="32"/>
        </w:rPr>
      </w:pPr>
      <w:r>
        <w:rPr>
          <w:rFonts w:hint="eastAsia" w:ascii="楷体_GB2312" w:eastAsia="楷体_GB2312"/>
          <w:b/>
          <w:bCs/>
          <w:kern w:val="0"/>
          <w:sz w:val="32"/>
          <w:szCs w:val="32"/>
          <w:lang w:val="en-US" w:eastAsia="zh-CN"/>
        </w:rPr>
        <w:t>5、</w:t>
      </w:r>
      <w:r>
        <w:rPr>
          <w:rFonts w:hint="eastAsia" w:ascii="楷体_GB2312" w:eastAsia="楷体_GB2312"/>
          <w:b/>
          <w:bCs/>
          <w:kern w:val="0"/>
          <w:sz w:val="32"/>
          <w:szCs w:val="32"/>
          <w:lang w:eastAsia="zh-CN"/>
        </w:rPr>
        <w:t>提高</w:t>
      </w:r>
      <w:r>
        <w:rPr>
          <w:rFonts w:hint="eastAsia" w:ascii="楷体_GB2312" w:eastAsia="楷体_GB2312"/>
          <w:b/>
          <w:bCs/>
          <w:kern w:val="0"/>
          <w:sz w:val="32"/>
          <w:szCs w:val="32"/>
        </w:rPr>
        <w:t>公共</w:t>
      </w:r>
      <w:r>
        <w:rPr>
          <w:rFonts w:hint="eastAsia" w:ascii="楷体_GB2312" w:eastAsia="楷体_GB2312"/>
          <w:b/>
          <w:bCs/>
          <w:kern w:val="0"/>
          <w:sz w:val="32"/>
          <w:szCs w:val="32"/>
          <w:lang w:eastAsia="zh-CN"/>
        </w:rPr>
        <w:t>服务水平</w:t>
      </w:r>
      <w:r>
        <w:rPr>
          <w:rFonts w:hint="eastAsia" w:ascii="楷体_GB2312" w:eastAsia="楷体_GB2312"/>
          <w:b/>
          <w:bCs/>
          <w:kern w:val="0"/>
          <w:sz w:val="32"/>
          <w:szCs w:val="32"/>
        </w:rPr>
        <w:t>。</w:t>
      </w:r>
      <w:r>
        <w:rPr>
          <w:rFonts w:hint="eastAsia" w:ascii="仿宋_GB2312" w:hAnsi="仿宋_GB2312" w:eastAsia="仿宋_GB2312" w:cs="仿宋_GB2312"/>
          <w:b w:val="0"/>
          <w:bCs/>
          <w:sz w:val="32"/>
          <w:szCs w:val="32"/>
        </w:rPr>
        <w:t>围绕全面建成小康社会目标，</w:t>
      </w:r>
      <w:r>
        <w:rPr>
          <w:rFonts w:hint="eastAsia" w:ascii="仿宋_GB2312" w:hAnsi="仿宋_GB2312" w:eastAsia="仿宋_GB2312" w:cs="仿宋_GB2312"/>
          <w:b w:val="0"/>
          <w:bCs/>
          <w:sz w:val="32"/>
          <w:szCs w:val="32"/>
          <w:lang w:eastAsia="zh-CN"/>
        </w:rPr>
        <w:t>利用三年时间</w:t>
      </w:r>
      <w:r>
        <w:rPr>
          <w:rFonts w:hint="eastAsia" w:ascii="仿宋_GB2312" w:hAnsi="仿宋_GB2312" w:eastAsia="仿宋_GB2312" w:cs="仿宋_GB2312"/>
          <w:b w:val="0"/>
          <w:bCs/>
          <w:sz w:val="32"/>
          <w:szCs w:val="32"/>
        </w:rPr>
        <w:t>扎实推进教育、医疗、文化等</w:t>
      </w:r>
      <w:r>
        <w:rPr>
          <w:rFonts w:hint="eastAsia" w:ascii="仿宋_GB2312" w:hAnsi="仿宋_GB2312" w:eastAsia="仿宋_GB2312" w:cs="仿宋_GB2312"/>
          <w:b w:val="0"/>
          <w:bCs/>
          <w:sz w:val="32"/>
          <w:szCs w:val="32"/>
          <w:lang w:eastAsia="zh-CN"/>
        </w:rPr>
        <w:t>公共服务设施</w:t>
      </w:r>
      <w:r>
        <w:rPr>
          <w:rFonts w:hint="eastAsia" w:ascii="仿宋_GB2312" w:hAnsi="仿宋_GB2312" w:eastAsia="仿宋_GB2312" w:cs="仿宋_GB2312"/>
          <w:b w:val="0"/>
          <w:bCs/>
          <w:sz w:val="32"/>
          <w:szCs w:val="32"/>
        </w:rPr>
        <w:t>发展，不断提高公共服务供给能力和水平，满足新形势下农民群众和市场主体的新需求。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6、</w:t>
      </w:r>
      <w:r>
        <w:rPr>
          <w:rFonts w:hint="eastAsia" w:ascii="楷体_GB2312" w:hAnsi="楷体_GB2312" w:eastAsia="楷体_GB2312" w:cs="楷体_GB2312"/>
          <w:b/>
          <w:bCs/>
          <w:sz w:val="32"/>
          <w:szCs w:val="32"/>
        </w:rPr>
        <w:t>长效机制建设工作常抓不懈</w:t>
      </w:r>
      <w:r>
        <w:rPr>
          <w:rFonts w:hint="eastAsia" w:ascii="楷体_GB2312" w:hAnsi="楷体_GB2312" w:eastAsia="楷体_GB2312" w:cs="楷体_GB2312"/>
          <w:b/>
          <w:bCs/>
          <w:sz w:val="32"/>
          <w:szCs w:val="32"/>
          <w:lang w:eastAsia="zh-CN"/>
        </w:rPr>
        <w:t>。</w:t>
      </w:r>
      <w:r>
        <w:rPr>
          <w:rFonts w:hint="eastAsia" w:ascii="仿宋_GB2312" w:eastAsia="仿宋_GB2312"/>
          <w:sz w:val="32"/>
          <w:szCs w:val="32"/>
        </w:rPr>
        <w:t>坚持建管并重，建立健全符合各村实际的运行管理体制机制，合理确定投融资模式和建管模式，探索推进规模化、专业化、市场化、社会化运营，确保已建设施长期稳定运行 。</w:t>
      </w:r>
    </w:p>
    <w:p>
      <w:pPr>
        <w:spacing w:line="500" w:lineRule="exact"/>
        <w:ind w:firstLine="482" w:firstLineChars="150"/>
        <w:jc w:val="left"/>
        <w:rPr>
          <w:rFonts w:ascii="黑体" w:hAnsi="黑体" w:eastAsia="黑体" w:cs="黑体"/>
          <w:b/>
          <w:sz w:val="32"/>
          <w:szCs w:val="32"/>
        </w:rPr>
      </w:pPr>
      <w:r>
        <w:rPr>
          <w:rFonts w:hint="eastAsia" w:ascii="黑体" w:hAnsi="黑体" w:eastAsia="黑体" w:cs="黑体"/>
          <w:b/>
          <w:sz w:val="32"/>
          <w:szCs w:val="32"/>
        </w:rPr>
        <w:t>（三）工作保障措施</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eastAsia="仿宋_GB2312"/>
          <w:sz w:val="32"/>
          <w:szCs w:val="32"/>
        </w:rPr>
      </w:pPr>
      <w:r>
        <w:rPr>
          <w:rFonts w:hint="eastAsia" w:ascii="楷体_GB2312" w:eastAsia="楷体_GB2312"/>
          <w:b/>
          <w:bCs/>
          <w:kern w:val="0"/>
          <w:sz w:val="32"/>
          <w:szCs w:val="32"/>
          <w:lang w:val="en-US" w:eastAsia="zh-CN"/>
        </w:rPr>
        <w:t>1、</w:t>
      </w:r>
      <w:r>
        <w:rPr>
          <w:rFonts w:hint="eastAsia" w:ascii="楷体_GB2312" w:eastAsia="楷体_GB2312"/>
          <w:b/>
          <w:bCs/>
          <w:kern w:val="0"/>
          <w:sz w:val="32"/>
          <w:szCs w:val="32"/>
        </w:rPr>
        <w:t>加强组织领导。</w:t>
      </w:r>
      <w:r>
        <w:rPr>
          <w:rFonts w:hint="eastAsia" w:ascii="仿宋_GB2312" w:eastAsia="仿宋_GB2312"/>
          <w:sz w:val="32"/>
          <w:szCs w:val="32"/>
        </w:rPr>
        <w:t>为确保农村基础设施和公共服务建设工作落到实处，保障工作的顺利开展，为巩固脱贫攻坚成效提供有力保障，各牵头部门认真研究制订具体的工作方案，相关部门和各乡镇全力搞好配合。同时，各部门要加强项目谋划、争取力度，为各项基础设施和公共服务建设提供项目资金支撑。</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eastAsia="仿宋_GB2312"/>
          <w:sz w:val="32"/>
          <w:szCs w:val="32"/>
        </w:rPr>
      </w:pPr>
      <w:r>
        <w:rPr>
          <w:rFonts w:hint="eastAsia" w:ascii="楷体_GB2312" w:hAnsi="楷体_GB2312" w:eastAsia="楷体_GB2312" w:cs="楷体_GB2312"/>
          <w:b/>
          <w:bCs/>
          <w:sz w:val="32"/>
          <w:szCs w:val="32"/>
          <w:lang w:val="en-US" w:eastAsia="zh-CN"/>
        </w:rPr>
        <w:t>2、</w:t>
      </w:r>
      <w:r>
        <w:rPr>
          <w:rFonts w:hint="eastAsia" w:ascii="楷体_GB2312" w:hAnsi="楷体_GB2312" w:eastAsia="楷体_GB2312" w:cs="楷体_GB2312"/>
          <w:b/>
          <w:bCs/>
          <w:sz w:val="32"/>
          <w:szCs w:val="32"/>
        </w:rPr>
        <w:t>广泛宣传发动。</w:t>
      </w:r>
      <w:r>
        <w:rPr>
          <w:rFonts w:hint="eastAsia" w:ascii="仿宋_GB2312" w:eastAsia="仿宋_GB2312"/>
          <w:sz w:val="32"/>
          <w:szCs w:val="32"/>
          <w:lang w:eastAsia="zh-CN"/>
        </w:rPr>
        <w:t>全县</w:t>
      </w:r>
      <w:r>
        <w:rPr>
          <w:rFonts w:hint="eastAsia" w:ascii="仿宋_GB2312" w:eastAsia="仿宋_GB2312"/>
          <w:sz w:val="32"/>
          <w:szCs w:val="32"/>
        </w:rPr>
        <w:t>各级各部门要通过农民喜闻乐见的多种有效形式，大力宣传农村人居环境整治的重要意义、总体要求和主要任务，统一干部和农民群众的思想认识，充分利用报刊、广播、电视等传统媒体和微信、微博、客户端等网络新媒体，宣传推广好典型、好经验和好做法，努力营造社会关心、支持农村</w:t>
      </w:r>
      <w:r>
        <w:rPr>
          <w:rFonts w:hint="eastAsia" w:ascii="仿宋_GB2312" w:eastAsia="仿宋_GB2312"/>
          <w:sz w:val="32"/>
          <w:szCs w:val="32"/>
          <w:lang w:eastAsia="zh-CN"/>
        </w:rPr>
        <w:t>基础设施建设和人居环境提升</w:t>
      </w:r>
      <w:r>
        <w:rPr>
          <w:rFonts w:hint="eastAsia" w:ascii="仿宋_GB2312" w:eastAsia="仿宋_GB2312"/>
          <w:sz w:val="32"/>
          <w:szCs w:val="32"/>
        </w:rPr>
        <w:t>的良好氛围。</w:t>
      </w:r>
    </w:p>
    <w:p>
      <w:pPr>
        <w:keepNext w:val="0"/>
        <w:keepLines w:val="0"/>
        <w:pageBreakBefore w:val="0"/>
        <w:kinsoku/>
        <w:wordWrap/>
        <w:overflowPunct/>
        <w:topLinePunct w:val="0"/>
        <w:autoSpaceDE/>
        <w:autoSpaceDN/>
        <w:bidi w:val="0"/>
        <w:spacing w:line="560" w:lineRule="exact"/>
        <w:ind w:firstLine="645"/>
        <w:textAlignment w:val="auto"/>
        <w:rPr>
          <w:rFonts w:hint="eastAsia" w:ascii="黑体" w:hAnsi="黑体" w:eastAsia="黑体" w:cs="黑体"/>
          <w:b/>
          <w:sz w:val="32"/>
          <w:szCs w:val="32"/>
        </w:rPr>
      </w:pP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强化督导考核。</w:t>
      </w:r>
      <w:r>
        <w:rPr>
          <w:rFonts w:hint="eastAsia" w:ascii="仿宋_GB2312" w:hAnsi="仿宋_GB2312" w:eastAsia="仿宋_GB2312" w:cs="仿宋_GB2312"/>
          <w:b w:val="0"/>
          <w:bCs w:val="0"/>
          <w:sz w:val="32"/>
          <w:szCs w:val="32"/>
        </w:rPr>
        <w:t>通过开展定期或不定期督导检查，全面掌握工作进展情况，及时发现问题，有针对性地提出改进措施，形成全力以赴推进工作的态势。建立项目验收和综合评价制度，</w:t>
      </w:r>
      <w:r>
        <w:rPr>
          <w:rFonts w:hint="eastAsia" w:ascii="仿宋_GB2312" w:hAnsi="仿宋_GB2312" w:eastAsia="仿宋_GB2312" w:cs="仿宋_GB2312"/>
          <w:b w:val="0"/>
          <w:bCs w:val="0"/>
          <w:sz w:val="32"/>
          <w:szCs w:val="32"/>
          <w:lang w:eastAsia="zh-CN"/>
        </w:rPr>
        <w:t>以乡镇自检和县督查相结合</w:t>
      </w:r>
      <w:r>
        <w:rPr>
          <w:rFonts w:hint="eastAsia" w:ascii="仿宋_GB2312" w:hAnsi="仿宋_GB2312" w:eastAsia="仿宋_GB2312" w:cs="仿宋_GB2312"/>
          <w:b w:val="0"/>
          <w:bCs w:val="0"/>
          <w:sz w:val="32"/>
          <w:szCs w:val="32"/>
        </w:rPr>
        <w:t>的方式，年底前对所有</w:t>
      </w:r>
      <w:r>
        <w:rPr>
          <w:rFonts w:hint="eastAsia" w:ascii="仿宋_GB2312" w:hAnsi="仿宋_GB2312" w:eastAsia="仿宋_GB2312" w:cs="仿宋_GB2312"/>
          <w:b w:val="0"/>
          <w:bCs w:val="0"/>
          <w:sz w:val="32"/>
          <w:szCs w:val="32"/>
          <w:lang w:eastAsia="zh-CN"/>
        </w:rPr>
        <w:t>村基础设施及人居环境整治工作</w:t>
      </w:r>
      <w:r>
        <w:rPr>
          <w:rFonts w:hint="eastAsia" w:ascii="仿宋_GB2312" w:hAnsi="仿宋_GB2312" w:eastAsia="仿宋_GB2312" w:cs="仿宋_GB2312"/>
          <w:b w:val="0"/>
          <w:bCs w:val="0"/>
          <w:sz w:val="32"/>
          <w:szCs w:val="32"/>
        </w:rPr>
        <w:t>完成情况进行严格考核验收,对任务未通过验收或验收不合格的村庄，限期完成整改并</w:t>
      </w:r>
      <w:r>
        <w:rPr>
          <w:rFonts w:hint="eastAsia" w:ascii="仿宋_GB2312" w:hAnsi="仿宋_GB2312" w:eastAsia="仿宋_GB2312" w:cs="仿宋_GB2312"/>
          <w:b w:val="0"/>
          <w:bCs w:val="0"/>
          <w:sz w:val="32"/>
          <w:szCs w:val="32"/>
          <w:lang w:eastAsia="zh-CN"/>
        </w:rPr>
        <w:t>视情况</w:t>
      </w:r>
      <w:r>
        <w:rPr>
          <w:rFonts w:hint="eastAsia" w:ascii="仿宋_GB2312" w:hAnsi="仿宋_GB2312" w:eastAsia="仿宋_GB2312" w:cs="仿宋_GB2312"/>
          <w:b w:val="0"/>
          <w:bCs w:val="0"/>
          <w:sz w:val="32"/>
          <w:szCs w:val="32"/>
        </w:rPr>
        <w:t>追究有关人员责任</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考核结果纳入对</w:t>
      </w:r>
      <w:r>
        <w:rPr>
          <w:rFonts w:hint="eastAsia" w:ascii="仿宋_GB2312" w:hAnsi="仿宋_GB2312" w:eastAsia="仿宋_GB2312" w:cs="仿宋_GB2312"/>
          <w:b w:val="0"/>
          <w:bCs w:val="0"/>
          <w:sz w:val="32"/>
          <w:szCs w:val="32"/>
          <w:lang w:eastAsia="zh-CN"/>
        </w:rPr>
        <w:t>各乡镇、开发区</w:t>
      </w:r>
      <w:r>
        <w:rPr>
          <w:rFonts w:hint="eastAsia" w:ascii="仿宋_GB2312" w:hAnsi="仿宋_GB2312" w:eastAsia="仿宋_GB2312" w:cs="仿宋_GB2312"/>
          <w:b w:val="0"/>
          <w:bCs w:val="0"/>
          <w:sz w:val="32"/>
          <w:szCs w:val="32"/>
        </w:rPr>
        <w:t>综合考核，作为评</w:t>
      </w:r>
      <w:r>
        <w:rPr>
          <w:rFonts w:hint="eastAsia" w:ascii="仿宋_GB2312" w:hAnsi="仿宋_GB2312" w:eastAsia="仿宋_GB2312" w:cs="仿宋_GB2312"/>
          <w:b w:val="0"/>
          <w:bCs w:val="0"/>
          <w:sz w:val="32"/>
          <w:szCs w:val="32"/>
          <w:lang w:eastAsia="zh-CN"/>
        </w:rPr>
        <w:t>整体工作</w:t>
      </w:r>
      <w:r>
        <w:rPr>
          <w:rFonts w:hint="eastAsia" w:ascii="仿宋_GB2312" w:hAnsi="仿宋_GB2312" w:eastAsia="仿宋_GB2312" w:cs="仿宋_GB2312"/>
          <w:b w:val="0"/>
          <w:bCs w:val="0"/>
          <w:sz w:val="32"/>
          <w:szCs w:val="32"/>
        </w:rPr>
        <w:t>评价的重要依据。</w:t>
      </w:r>
    </w:p>
    <w:p>
      <w:pPr>
        <w:ind w:firstLine="803" w:firstLineChars="250"/>
        <w:jc w:val="left"/>
        <w:rPr>
          <w:rFonts w:hint="eastAsia" w:ascii="黑体" w:hAnsi="黑体" w:eastAsia="黑体" w:cs="黑体"/>
          <w:b/>
          <w:sz w:val="32"/>
          <w:szCs w:val="32"/>
        </w:rPr>
      </w:pPr>
      <w:r>
        <w:rPr>
          <w:rFonts w:hint="eastAsia" w:ascii="黑体" w:hAnsi="黑体" w:eastAsia="黑体" w:cs="黑体"/>
          <w:b/>
          <w:sz w:val="32"/>
          <w:szCs w:val="32"/>
          <w:lang w:eastAsia="zh-CN"/>
        </w:rPr>
        <w:t>第二部分</w:t>
      </w:r>
      <w:r>
        <w:rPr>
          <w:rFonts w:hint="eastAsia" w:ascii="黑体" w:hAnsi="黑体" w:eastAsia="黑体" w:cs="黑体"/>
          <w:b/>
          <w:sz w:val="32"/>
          <w:szCs w:val="32"/>
          <w:lang w:val="en-US" w:eastAsia="zh-CN"/>
        </w:rPr>
        <w:t xml:space="preserve"> </w:t>
      </w:r>
      <w:r>
        <w:rPr>
          <w:rFonts w:hint="eastAsia" w:ascii="黑体" w:hAnsi="黑体" w:eastAsia="黑体" w:cs="黑体"/>
          <w:b/>
          <w:sz w:val="32"/>
          <w:szCs w:val="32"/>
        </w:rPr>
        <w:t>预算项目绩效目标：</w:t>
      </w:r>
    </w:p>
    <w:p>
      <w:pPr>
        <w:ind w:firstLine="560" w:firstLineChars="200"/>
        <w:jc w:val="left"/>
        <w:outlineLvl w:val="1"/>
        <w:rPr>
          <w:rFonts w:hint="eastAsia" w:ascii="黑体" w:hAnsi="黑体" w:eastAsia="黑体" w:cs="黑体"/>
          <w:b/>
          <w:sz w:val="32"/>
          <w:szCs w:val="32"/>
        </w:rPr>
      </w:pPr>
      <w:r>
        <w:rPr>
          <w:rFonts w:hint="eastAsia" w:ascii="方正仿宋_GBK" w:eastAsia="方正仿宋_GBK"/>
          <w:b/>
          <w:sz w:val="28"/>
        </w:rPr>
        <w:t>1、丰宁满族自治县人居环境整治办公室经费绩效目标表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1、丰宁满族自治县人居环境整治办公室经费绩效目标表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206002</w:t>
            </w:r>
            <w:r>
              <w:rPr>
                <w:rFonts w:hint="eastAsia" w:ascii="方正书宋_GBK" w:eastAsia="方正书宋_GBK"/>
                <w:b/>
              </w:rPr>
              <w:t>丰宁满族自治县人居环境整治办公室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206-0401-JXN-HILG</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丰宁满族自治县人居环境整治办公室经费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23.00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5"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人居办没有正式编制，因此没有正常公用经费，为保证单位正常运转，使用</w:t>
            </w:r>
            <w:r>
              <w:rPr>
                <w:rFonts w:ascii="方正书宋_GBK" w:eastAsia="方正书宋_GBK"/>
              </w:rPr>
              <w:t>28</w:t>
            </w:r>
            <w:r>
              <w:rPr>
                <w:rFonts w:hint="eastAsia" w:ascii="方正书宋_GBK" w:eastAsia="方正书宋_GBK"/>
              </w:rPr>
              <w:t>万元经费用于平时办公经费支出。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、通过工程量摸底，下乡督导，下乡验收，完成农村人居环境整治工作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、通过工程量摸底，下乡督导，下乡验收，针对深度贫困村进行改造提升。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预算管理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公用经费控制率：（实际支出公用经费总额</w:t>
            </w:r>
            <w:r>
              <w:rPr>
                <w:rFonts w:ascii="方正书宋_GBK" w:eastAsia="方正书宋_GBK"/>
              </w:rPr>
              <w:t>**</w:t>
            </w:r>
            <w:r>
              <w:rPr>
                <w:rFonts w:hint="eastAsia" w:ascii="方正书宋_GBK" w:eastAsia="方正书宋_GBK"/>
              </w:rPr>
              <w:t>万元</w:t>
            </w:r>
            <w:r>
              <w:rPr>
                <w:rFonts w:ascii="方正书宋_GBK" w:eastAsia="方正书宋_GBK"/>
              </w:rPr>
              <w:t>/</w:t>
            </w:r>
            <w:r>
              <w:rPr>
                <w:rFonts w:hint="eastAsia" w:ascii="方正书宋_GBK" w:eastAsia="方正书宋_GBK"/>
              </w:rPr>
              <w:t>预算安排公用经费总额</w:t>
            </w:r>
            <w:r>
              <w:rPr>
                <w:rFonts w:ascii="方正书宋_GBK" w:eastAsia="方正书宋_GBK"/>
              </w:rPr>
              <w:t>**</w:t>
            </w:r>
            <w:r>
              <w:rPr>
                <w:rFonts w:hint="eastAsia" w:ascii="方正书宋_GBK" w:eastAsia="方正书宋_GBK"/>
              </w:rPr>
              <w:t>万元）</w:t>
            </w:r>
            <w:r>
              <w:rPr>
                <w:rFonts w:ascii="方正书宋_GBK" w:eastAsia="方正书宋_GBK"/>
              </w:rPr>
              <w:t>*100%=**%</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65"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预算管理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预决算信息公开率：一是按规定在县政府门户网站公开信息；二是基础数据信息和会计信息资料真实、完整、准确</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职责履行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完成各项工作目标和任务情况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履职效益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社会效益：得到社会大众的肯定和好评情况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满意度调查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履职效益</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行政效能：改善行政管理、严格经费及资产管理</w:t>
            </w:r>
            <w:bookmarkStart w:id="4" w:name="_GoBack"/>
            <w:bookmarkEnd w:id="4"/>
            <w:r>
              <w:rPr>
                <w:rFonts w:hint="eastAsia" w:ascii="方正书宋_GBK" w:eastAsia="方正书宋_GBK"/>
              </w:rPr>
              <w:t>，改进文风会风，精简会议，提高行政效率，降低行政成本情况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社会公众或服务对象满意度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rPr>
          <w:rFonts w:hint="eastAsia" w:eastAsiaTheme="minorEastAsia"/>
          <w:lang w:val="en-US" w:eastAsia="zh-CN"/>
        </w:rPr>
        <w:sectPr>
          <w:pgSz w:w="16838" w:h="11905" w:orient="landscape"/>
          <w:pgMar w:top="1304" w:right="1984" w:bottom="1304" w:left="1134" w:header="851" w:footer="992" w:gutter="0"/>
          <w:cols w:space="425" w:num="1"/>
          <w:rtlGutter w:val="0"/>
          <w:docGrid w:type="lines" w:linePitch="320" w:charSpace="0"/>
        </w:sectPr>
      </w:pPr>
      <w:r>
        <w:rPr>
          <w:rFonts w:hint="eastAsia"/>
          <w:lang w:val="en-US" w:eastAsia="zh-CN"/>
        </w:rPr>
        <w:t xml:space="preserve"> </w:t>
      </w:r>
    </w:p>
    <w:p>
      <w:pPr>
        <w:ind w:firstLine="560" w:firstLineChars="200"/>
        <w:jc w:val="left"/>
        <w:outlineLvl w:val="1"/>
        <w:rPr>
          <w:rFonts w:hAnsi="宋体"/>
          <w:b/>
          <w:sz w:val="28"/>
        </w:rPr>
      </w:pPr>
      <w:r>
        <w:rPr>
          <w:rFonts w:hint="eastAsia" w:ascii="方正仿宋_GBK" w:eastAsia="方正仿宋_GBK"/>
          <w:b/>
          <w:sz w:val="28"/>
        </w:rPr>
        <w:t>2、冀财农[2019]155号-关于提前下达2020年土地指标跨省域调剂收入安排的支出预算（支持农村“厕所革命”整村推进财政奖补使用方向）的通知绩效目标表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 w:name="_Toc29908430"/>
      <w:r>
        <w:rPr>
          <w:rFonts w:hint="eastAsia" w:ascii="方正仿宋_GBK" w:eastAsia="方正仿宋_GBK"/>
          <w:b/>
          <w:sz w:val="28"/>
        </w:rPr>
        <w:instrText xml:space="preserve">2、冀财农[2019]155号-关于提前下达2020年土地指标跨省域调剂收入安排的支出预算（支持农村\“厕所革命\”整村推进财政奖补使用方向）的通知绩效目标表</w:instrText>
      </w:r>
      <w:bookmarkEnd w:id="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206002</w:t>
            </w:r>
            <w:r>
              <w:rPr>
                <w:rFonts w:hint="eastAsia" w:ascii="方正书宋_GBK" w:eastAsia="方正书宋_GBK"/>
                <w:b/>
              </w:rPr>
              <w:t>丰宁满族自治县人居环境整治办公室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206-0401-YXN-IYW3</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[2019]155</w:t>
            </w:r>
            <w:r>
              <w:rPr>
                <w:rFonts w:hint="eastAsia" w:ascii="方正书宋_GBK" w:eastAsia="方正书宋_GBK"/>
              </w:rPr>
              <w:t>号</w:t>
            </w:r>
            <w:r>
              <w:rPr>
                <w:rFonts w:ascii="方正书宋_GBK" w:eastAsia="方正书宋_GBK"/>
              </w:rPr>
              <w:t>-</w:t>
            </w:r>
            <w:r>
              <w:rPr>
                <w:rFonts w:hint="eastAsia" w:ascii="方正书宋_GBK" w:eastAsia="方正书宋_GBK"/>
              </w:rPr>
              <w:t>关于提前下达</w:t>
            </w:r>
            <w:r>
              <w:rPr>
                <w:rFonts w:ascii="方正书宋_GBK" w:eastAsia="方正书宋_GBK"/>
              </w:rPr>
              <w:t>2020</w:t>
            </w:r>
            <w:r>
              <w:rPr>
                <w:rFonts w:hint="eastAsia" w:ascii="方正书宋_GBK" w:eastAsia="方正书宋_GBK"/>
              </w:rPr>
              <w:t>年土地指标跨省域调剂收入安排的支出预算（支持农村</w:t>
            </w:r>
            <w:r>
              <w:rPr>
                <w:rFonts w:hint="cs" w:ascii="方正书宋_GBK" w:eastAsia="方正书宋_GBK"/>
              </w:rPr>
              <w:t>“</w:t>
            </w:r>
            <w:r>
              <w:rPr>
                <w:rFonts w:hint="eastAsia" w:ascii="方正书宋_GBK" w:eastAsia="方正书宋_GBK"/>
              </w:rPr>
              <w:t>厕所革命</w:t>
            </w:r>
            <w:r>
              <w:rPr>
                <w:rFonts w:hint="cs" w:ascii="方正书宋_GBK" w:eastAsia="方正书宋_GBK"/>
              </w:rPr>
              <w:t>”</w:t>
            </w:r>
            <w:r>
              <w:rPr>
                <w:rFonts w:hint="eastAsia" w:ascii="方正书宋_GBK" w:eastAsia="方正书宋_GBK"/>
              </w:rPr>
              <w:t>整村推进财政奖补使用方向）的通知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206.00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206.00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2020</w:t>
            </w:r>
            <w:r>
              <w:rPr>
                <w:rFonts w:hint="eastAsia" w:ascii="方正书宋_GBK" w:eastAsia="方正书宋_GBK"/>
              </w:rPr>
              <w:t>年农村厕所改造粪污收集设施，预计建设</w:t>
            </w:r>
            <w:r>
              <w:rPr>
                <w:rFonts w:ascii="方正书宋_GBK" w:eastAsia="方正书宋_GBK"/>
              </w:rPr>
              <w:t>25</w:t>
            </w:r>
            <w:r>
              <w:rPr>
                <w:rFonts w:hint="eastAsia" w:ascii="方正书宋_GBK" w:eastAsia="方正书宋_GBK"/>
              </w:rPr>
              <w:t>座，合计</w:t>
            </w:r>
            <w:r>
              <w:rPr>
                <w:rFonts w:ascii="方正书宋_GBK" w:eastAsia="方正书宋_GBK"/>
              </w:rPr>
              <w:t>206</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、完成当年粪污收集项目数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、项目建设合格率达到</w:t>
            </w:r>
            <w:r>
              <w:rPr>
                <w:rFonts w:ascii="方正书宋_GBK" w:eastAsia="方正书宋_GBK"/>
              </w:rPr>
              <w:t>100%</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工程完成数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粪污收集设施完成座数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25</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当年粪污收集设施任务完成情况</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粪污收集设施完成合格占当年任务数的比率</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基本公共卫生服务水平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反映为村内内常住人口提供基本公共卫生厕所的能力和效果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接受基本公共卫生服务的重点人群对基层医疗卫生机构所提供服务的满意程度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8" w:h="11905" w:orient="landscape"/>
          <w:pgMar w:top="1304" w:right="1984" w:bottom="1304" w:left="1134" w:header="851" w:footer="992" w:gutter="0"/>
          <w:cols w:space="425" w:num="1"/>
          <w:rtlGutter w:val="0"/>
          <w:docGrid w:type="lines" w:linePitch="320" w:charSpace="0"/>
        </w:sectPr>
      </w:pPr>
    </w:p>
    <w:p>
      <w:pPr>
        <w:spacing w:line="300" w:lineRule="exact"/>
        <w:ind w:firstLine="420" w:firstLineChars="200"/>
        <w:jc w:val="left"/>
      </w:pPr>
    </w:p>
    <w:p>
      <w:pPr>
        <w:ind w:firstLine="560" w:firstLineChars="200"/>
        <w:jc w:val="left"/>
        <w:outlineLvl w:val="1"/>
        <w:rPr>
          <w:rFonts w:hAnsi="宋体"/>
          <w:b/>
          <w:sz w:val="28"/>
        </w:rPr>
      </w:pPr>
      <w:r>
        <w:rPr>
          <w:rFonts w:hint="eastAsia" w:ascii="方正仿宋_GBK" w:eastAsia="方正仿宋_GBK"/>
          <w:b/>
          <w:sz w:val="28"/>
        </w:rPr>
        <w:t>3、冀财农[2019]174号-河北省财政厅关于提前下达2020年省级乡村振兴（农村人居环境整治）专项资金的通知绩效目标表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 w:name="_Toc29908431"/>
      <w:r>
        <w:rPr>
          <w:rFonts w:hint="eastAsia" w:ascii="方正仿宋_GBK" w:eastAsia="方正仿宋_GBK"/>
          <w:b/>
          <w:sz w:val="28"/>
        </w:rPr>
        <w:instrText xml:space="preserve">3、冀财农[2019]174号-河北省财政厅关于提前下达2020年省级乡村振兴（农村人居环境整治）专项资金的通知绩效目标表</w:instrText>
      </w:r>
      <w:bookmarkEnd w:id="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206002</w:t>
            </w:r>
            <w:r>
              <w:rPr>
                <w:rFonts w:hint="eastAsia" w:ascii="方正书宋_GBK" w:eastAsia="方正书宋_GBK"/>
                <w:b/>
              </w:rPr>
              <w:t>丰宁满族自治县人居环境整治办公室</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206-0401-YXN-OVG5</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冀财农</w:t>
            </w:r>
            <w:r>
              <w:rPr>
                <w:rFonts w:ascii="方正书宋_GBK" w:eastAsia="方正书宋_GBK"/>
              </w:rPr>
              <w:t>[2019]174</w:t>
            </w:r>
            <w:r>
              <w:rPr>
                <w:rFonts w:hint="eastAsia" w:ascii="方正书宋_GBK" w:eastAsia="方正书宋_GBK"/>
              </w:rPr>
              <w:t>号</w:t>
            </w:r>
            <w:r>
              <w:rPr>
                <w:rFonts w:ascii="方正书宋_GBK" w:eastAsia="方正书宋_GBK"/>
              </w:rPr>
              <w:t>-</w:t>
            </w:r>
            <w:r>
              <w:rPr>
                <w:rFonts w:hint="eastAsia" w:ascii="方正书宋_GBK" w:eastAsia="方正书宋_GBK"/>
              </w:rPr>
              <w:t>河北省财政厅关于提前下达</w:t>
            </w:r>
            <w:r>
              <w:rPr>
                <w:rFonts w:ascii="方正书宋_GBK" w:eastAsia="方正书宋_GBK"/>
              </w:rPr>
              <w:t>2020</w:t>
            </w:r>
            <w:r>
              <w:rPr>
                <w:rFonts w:hint="eastAsia" w:ascii="方正书宋_GBK" w:eastAsia="方正书宋_GBK"/>
              </w:rPr>
              <w:t>年省级乡村振兴（农村人居环境整治）专项资金的通知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750.00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1"/>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2020</w:t>
            </w:r>
            <w:r>
              <w:rPr>
                <w:rFonts w:hint="eastAsia" w:ascii="方正书宋_GBK" w:eastAsia="方正书宋_GBK"/>
              </w:rPr>
              <w:t>年农村厕所户厕改造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1"/>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30.00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40.00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、完成厕所改造项目数</w:t>
            </w:r>
          </w:p>
        </w:tc>
      </w:tr>
    </w:tbl>
    <w:p>
      <w:pPr>
        <w:spacing w:line="14" w:lineRule="exact"/>
        <w:ind w:firstLine="420" w:firstLineChars="200"/>
        <w:jc w:val="center"/>
        <w:rPr>
          <w:rFonts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户厕改造完成数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户厕改造完成</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座</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当年改造任务完成率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完成当年厕所改造任务的比率</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群众对当年农村户厕改造的整体满意度</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效果指标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能够长期较好地开展展演、展映、展播、展示，长期满足人民群众对精神文化的需求。</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8" w:h="11905" w:orient="landscape"/>
          <w:pgMar w:top="1304" w:right="1984" w:bottom="1304" w:left="1134" w:header="851" w:footer="992" w:gutter="0"/>
          <w:cols w:space="425" w:num="1"/>
          <w:rtlGutter w:val="0"/>
          <w:docGrid w:type="lines" w:linePitch="320" w:charSpace="0"/>
        </w:sectPr>
      </w:pPr>
    </w:p>
    <w:bookmarkEnd w:id="0"/>
    <w:p>
      <w:pPr>
        <w:autoSpaceDE w:val="0"/>
        <w:autoSpaceDN w:val="0"/>
        <w:adjustRightInd w:val="0"/>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ind w:firstLine="640" w:firstLineChars="200"/>
        <w:jc w:val="both"/>
        <w:outlineLvl w:val="0"/>
        <w:rPr>
          <w:rFonts w:ascii="Times New Roman" w:hAnsi="Times New Roman" w:eastAsia="方正仿宋_GBK" w:cs="Times New Roman"/>
          <w:sz w:val="32"/>
          <w:szCs w:val="24"/>
        </w:rPr>
      </w:pPr>
      <w:bookmarkStart w:id="3" w:name="_Toc471398468"/>
      <w:r>
        <w:rPr>
          <w:rFonts w:ascii="Times New Roman" w:hAnsi="Times New Roman" w:eastAsia="方正仿宋_GBK" w:cs="Times New Roman"/>
          <w:sz w:val="32"/>
          <w:szCs w:val="24"/>
        </w:rPr>
        <w:t>20</w:t>
      </w:r>
      <w:r>
        <w:rPr>
          <w:rFonts w:hint="eastAsia" w:ascii="Times New Roman" w:hAnsi="Times New Roman" w:eastAsia="方正仿宋_GBK" w:cs="Times New Roman"/>
          <w:sz w:val="32"/>
          <w:szCs w:val="24"/>
          <w:lang w:val="en-US" w:eastAsia="zh-CN"/>
        </w:rPr>
        <w:t>20</w:t>
      </w:r>
      <w:r>
        <w:rPr>
          <w:rFonts w:ascii="Times New Roman" w:hAnsi="Times New Roman" w:eastAsia="方正仿宋_GBK" w:cs="Times New Roman"/>
          <w:sz w:val="32"/>
          <w:szCs w:val="24"/>
        </w:rPr>
        <w:t>年，我单位安排政府采购预算</w:t>
      </w:r>
      <w:r>
        <w:rPr>
          <w:rFonts w:hint="eastAsia" w:ascii="Times New Roman" w:hAnsi="Times New Roman" w:eastAsia="方正仿宋_GBK" w:cs="Times New Roman"/>
          <w:sz w:val="32"/>
          <w:szCs w:val="24"/>
          <w:lang w:val="en-US" w:eastAsia="zh-CN"/>
        </w:rPr>
        <w:t>956.00</w:t>
      </w:r>
      <w:r>
        <w:rPr>
          <w:rFonts w:ascii="Times New Roman" w:hAnsi="Times New Roman" w:eastAsia="方正仿宋_GBK" w:cs="Times New Roman"/>
          <w:sz w:val="32"/>
          <w:szCs w:val="24"/>
        </w:rPr>
        <w:t>万元</w:t>
      </w:r>
      <w:r>
        <w:rPr>
          <w:rFonts w:hint="eastAsia" w:ascii="Times New Roman" w:hAnsi="Times New Roman" w:eastAsia="方正仿宋_GBK" w:cs="Times New Roman"/>
          <w:sz w:val="32"/>
          <w:szCs w:val="24"/>
          <w:lang w:eastAsia="zh-CN"/>
        </w:rPr>
        <w:t>，具体明细下表</w:t>
      </w:r>
      <w:r>
        <w:rPr>
          <w:rFonts w:ascii="Times New Roman" w:hAnsi="Times New Roman" w:eastAsia="方正仿宋_GBK" w:cs="Times New Roman"/>
          <w:sz w:val="32"/>
          <w:szCs w:val="24"/>
        </w:rPr>
        <w:t>。</w:t>
      </w:r>
      <w:bookmarkEnd w:id="3"/>
    </w:p>
    <w:p>
      <w:pPr>
        <w:jc w:val="center"/>
        <w:outlineLvl w:val="0"/>
        <w:rPr>
          <w:rFonts w:ascii="Times New Roman" w:hAnsi="Times New Roman" w:eastAsia="方正小标宋_GBK" w:cs="Times New Roman"/>
          <w:sz w:val="32"/>
          <w:szCs w:val="24"/>
        </w:rPr>
      </w:pPr>
      <w:r>
        <w:rPr>
          <w:rFonts w:ascii="Times New Roman" w:hAnsi="Times New Roman" w:eastAsia="方正小标宋_GBK" w:cs="Times New Roman"/>
          <w:sz w:val="32"/>
          <w:szCs w:val="24"/>
        </w:rPr>
        <w:t>部门政府采购预算</w:t>
      </w:r>
    </w:p>
    <w:tbl>
      <w:tblPr>
        <w:tblStyle w:val="8"/>
        <w:tblW w:w="1375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02"/>
        <w:gridCol w:w="977"/>
        <w:gridCol w:w="790"/>
        <w:gridCol w:w="1524"/>
        <w:gridCol w:w="427"/>
        <w:gridCol w:w="858"/>
        <w:gridCol w:w="976"/>
        <w:gridCol w:w="976"/>
        <w:gridCol w:w="976"/>
        <w:gridCol w:w="976"/>
        <w:gridCol w:w="976"/>
        <w:gridCol w:w="561"/>
        <w:gridCol w:w="976"/>
        <w:gridCol w:w="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654"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eastAsia" w:ascii="Times New Roman" w:hAnsi="Times New Roman" w:cs="Times New Roman" w:eastAsiaTheme="minorEastAsia"/>
                <w:sz w:val="24"/>
                <w:lang w:val="en-US" w:eastAsia="zh-CN"/>
              </w:rPr>
            </w:pPr>
            <w:r>
              <w:rPr>
                <w:rFonts w:hint="eastAsia" w:ascii="Times New Roman" w:hAnsi="Times New Roman" w:cs="Times New Roman"/>
                <w:sz w:val="24"/>
                <w:lang w:val="en-US" w:eastAsia="zh-CN"/>
              </w:rPr>
              <w:t>丰宁满族自治县美丽乡村建设领导小组办公室</w:t>
            </w:r>
          </w:p>
        </w:tc>
        <w:tc>
          <w:tcPr>
            <w:tcW w:w="6098"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Times New Roman" w:hAnsi="Times New Roman" w:eastAsia="方正书宋_GBK" w:cs="Times New Roman"/>
                <w:sz w:val="24"/>
              </w:rPr>
            </w:pPr>
            <w:r>
              <w:rPr>
                <w:rFonts w:ascii="Times New Roman" w:hAnsi="Times New Roman"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079" w:type="dxa"/>
            <w:gridSpan w:val="2"/>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政府采购项目来源</w:t>
            </w:r>
          </w:p>
        </w:tc>
        <w:tc>
          <w:tcPr>
            <w:tcW w:w="790"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采购物品名称</w:t>
            </w:r>
          </w:p>
        </w:tc>
        <w:tc>
          <w:tcPr>
            <w:tcW w:w="1524"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政府采购目录序号</w:t>
            </w:r>
          </w:p>
        </w:tc>
        <w:tc>
          <w:tcPr>
            <w:tcW w:w="42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数量  单位</w:t>
            </w:r>
          </w:p>
        </w:tc>
        <w:tc>
          <w:tcPr>
            <w:tcW w:w="858"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数量</w:t>
            </w:r>
          </w:p>
        </w:tc>
        <w:tc>
          <w:tcPr>
            <w:tcW w:w="9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单价</w:t>
            </w:r>
          </w:p>
        </w:tc>
        <w:tc>
          <w:tcPr>
            <w:tcW w:w="6098" w:type="dxa"/>
            <w:gridSpan w:val="7"/>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02"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项目名称</w:t>
            </w:r>
          </w:p>
        </w:tc>
        <w:tc>
          <w:tcPr>
            <w:tcW w:w="97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预算资金</w:t>
            </w:r>
          </w:p>
        </w:tc>
        <w:tc>
          <w:tcPr>
            <w:tcW w:w="790" w:type="dxa"/>
            <w:vMerge w:val="continue"/>
            <w:shd w:val="clear" w:color="auto" w:fill="auto"/>
            <w:vAlign w:val="center"/>
          </w:tcPr>
          <w:p>
            <w:pPr>
              <w:spacing w:line="300" w:lineRule="exact"/>
              <w:jc w:val="left"/>
              <w:outlineLvl w:val="0"/>
              <w:rPr>
                <w:rFonts w:ascii="Times New Roman" w:hAnsi="Times New Roman" w:cs="Times New Roman"/>
              </w:rPr>
            </w:pPr>
          </w:p>
        </w:tc>
        <w:tc>
          <w:tcPr>
            <w:tcW w:w="1524" w:type="dxa"/>
            <w:vMerge w:val="continue"/>
            <w:shd w:val="clear" w:color="auto" w:fill="auto"/>
            <w:vAlign w:val="center"/>
          </w:tcPr>
          <w:p>
            <w:pPr>
              <w:spacing w:line="300" w:lineRule="exact"/>
              <w:jc w:val="left"/>
              <w:outlineLvl w:val="0"/>
              <w:rPr>
                <w:rFonts w:ascii="Times New Roman" w:hAnsi="Times New Roman" w:cs="Times New Roman"/>
              </w:rPr>
            </w:pPr>
          </w:p>
        </w:tc>
        <w:tc>
          <w:tcPr>
            <w:tcW w:w="427" w:type="dxa"/>
            <w:vMerge w:val="continue"/>
            <w:shd w:val="clear" w:color="auto" w:fill="auto"/>
            <w:vAlign w:val="center"/>
          </w:tcPr>
          <w:p>
            <w:pPr>
              <w:spacing w:line="300" w:lineRule="exact"/>
              <w:jc w:val="left"/>
              <w:outlineLvl w:val="0"/>
              <w:rPr>
                <w:rFonts w:ascii="Times New Roman" w:hAnsi="Times New Roman" w:cs="Times New Roman"/>
              </w:rPr>
            </w:pPr>
          </w:p>
        </w:tc>
        <w:tc>
          <w:tcPr>
            <w:tcW w:w="858"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总计</w:t>
            </w:r>
          </w:p>
        </w:tc>
        <w:tc>
          <w:tcPr>
            <w:tcW w:w="4465" w:type="dxa"/>
            <w:gridSpan w:val="5"/>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当年部门预算安排资金</w:t>
            </w:r>
          </w:p>
        </w:tc>
        <w:tc>
          <w:tcPr>
            <w:tcW w:w="657" w:type="dxa"/>
            <w:vMerge w:val="restart"/>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102" w:type="dxa"/>
            <w:vMerge w:val="continue"/>
            <w:shd w:val="clear" w:color="auto" w:fill="auto"/>
            <w:vAlign w:val="center"/>
          </w:tcPr>
          <w:p>
            <w:pPr>
              <w:spacing w:line="300" w:lineRule="exact"/>
              <w:jc w:val="left"/>
              <w:outlineLvl w:val="0"/>
              <w:rPr>
                <w:rFonts w:ascii="Times New Roman" w:hAnsi="Times New Roman" w:cs="Times New Roman"/>
              </w:rPr>
            </w:pPr>
          </w:p>
        </w:tc>
        <w:tc>
          <w:tcPr>
            <w:tcW w:w="977" w:type="dxa"/>
            <w:vMerge w:val="continue"/>
            <w:shd w:val="clear" w:color="auto" w:fill="auto"/>
            <w:vAlign w:val="center"/>
          </w:tcPr>
          <w:p>
            <w:pPr>
              <w:spacing w:line="300" w:lineRule="exact"/>
              <w:jc w:val="left"/>
              <w:outlineLvl w:val="0"/>
              <w:rPr>
                <w:rFonts w:ascii="Times New Roman" w:hAnsi="Times New Roman" w:cs="Times New Roman"/>
              </w:rPr>
            </w:pPr>
          </w:p>
        </w:tc>
        <w:tc>
          <w:tcPr>
            <w:tcW w:w="790" w:type="dxa"/>
            <w:vMerge w:val="continue"/>
            <w:shd w:val="clear" w:color="auto" w:fill="auto"/>
            <w:vAlign w:val="center"/>
          </w:tcPr>
          <w:p>
            <w:pPr>
              <w:spacing w:line="300" w:lineRule="exact"/>
              <w:jc w:val="left"/>
              <w:outlineLvl w:val="0"/>
              <w:rPr>
                <w:rFonts w:ascii="Times New Roman" w:hAnsi="Times New Roman" w:cs="Times New Roman"/>
              </w:rPr>
            </w:pPr>
          </w:p>
        </w:tc>
        <w:tc>
          <w:tcPr>
            <w:tcW w:w="1524" w:type="dxa"/>
            <w:vMerge w:val="continue"/>
            <w:shd w:val="clear" w:color="auto" w:fill="auto"/>
            <w:vAlign w:val="center"/>
          </w:tcPr>
          <w:p>
            <w:pPr>
              <w:spacing w:line="300" w:lineRule="exact"/>
              <w:jc w:val="left"/>
              <w:outlineLvl w:val="0"/>
              <w:rPr>
                <w:rFonts w:ascii="Times New Roman" w:hAnsi="Times New Roman" w:cs="Times New Roman"/>
              </w:rPr>
            </w:pPr>
          </w:p>
        </w:tc>
        <w:tc>
          <w:tcPr>
            <w:tcW w:w="427" w:type="dxa"/>
            <w:vMerge w:val="continue"/>
            <w:shd w:val="clear" w:color="auto" w:fill="auto"/>
            <w:vAlign w:val="center"/>
          </w:tcPr>
          <w:p>
            <w:pPr>
              <w:spacing w:line="300" w:lineRule="exact"/>
              <w:jc w:val="left"/>
              <w:outlineLvl w:val="0"/>
              <w:rPr>
                <w:rFonts w:ascii="Times New Roman" w:hAnsi="Times New Roman" w:cs="Times New Roman"/>
              </w:rPr>
            </w:pPr>
          </w:p>
        </w:tc>
        <w:tc>
          <w:tcPr>
            <w:tcW w:w="858"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vMerge w:val="continue"/>
            <w:shd w:val="clear" w:color="auto" w:fill="auto"/>
            <w:vAlign w:val="center"/>
          </w:tcPr>
          <w:p>
            <w:pPr>
              <w:spacing w:line="300" w:lineRule="exact"/>
              <w:jc w:val="left"/>
              <w:outlineLvl w:val="0"/>
              <w:rPr>
                <w:rFonts w:ascii="Times New Roman" w:hAnsi="Times New Roman" w:cs="Times New Roman"/>
              </w:rPr>
            </w:pP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合计</w:t>
            </w: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一般公共预算拨款</w:t>
            </w: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基金预算拨款</w:t>
            </w:r>
          </w:p>
        </w:tc>
        <w:tc>
          <w:tcPr>
            <w:tcW w:w="561"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财政专户核拨</w:t>
            </w:r>
          </w:p>
        </w:tc>
        <w:tc>
          <w:tcPr>
            <w:tcW w:w="976"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其他来源收入</w:t>
            </w:r>
          </w:p>
        </w:tc>
        <w:tc>
          <w:tcPr>
            <w:tcW w:w="657" w:type="dxa"/>
            <w:vMerge w:val="continue"/>
            <w:shd w:val="clear" w:color="auto" w:fill="auto"/>
            <w:vAlign w:val="center"/>
          </w:tcPr>
          <w:p>
            <w:pPr>
              <w:spacing w:line="300" w:lineRule="exact"/>
              <w:jc w:val="left"/>
              <w:outlineLvl w:val="0"/>
              <w:rPr>
                <w:rFonts w:ascii="Times New Roman" w:hAnsi="Times New Roman"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2" w:type="dxa"/>
            <w:shd w:val="clear" w:color="auto" w:fill="auto"/>
            <w:vAlign w:val="center"/>
          </w:tcPr>
          <w:p>
            <w:pPr>
              <w:spacing w:line="300" w:lineRule="exact"/>
              <w:jc w:val="center"/>
              <w:rPr>
                <w:rFonts w:ascii="Times New Roman" w:hAnsi="Times New Roman" w:eastAsia="方正书宋_GBK" w:cs="Times New Roman"/>
                <w:b/>
              </w:rPr>
            </w:pPr>
            <w:r>
              <w:rPr>
                <w:rFonts w:ascii="Times New Roman" w:hAnsi="Times New Roman" w:eastAsia="方正书宋_GBK" w:cs="Times New Roman"/>
                <w:b/>
              </w:rPr>
              <w:t>合　计</w:t>
            </w:r>
          </w:p>
        </w:tc>
        <w:tc>
          <w:tcPr>
            <w:tcW w:w="977"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956.00</w:t>
            </w:r>
          </w:p>
        </w:tc>
        <w:tc>
          <w:tcPr>
            <w:tcW w:w="790" w:type="dxa"/>
            <w:shd w:val="clear" w:color="auto" w:fill="auto"/>
            <w:vAlign w:val="center"/>
          </w:tcPr>
          <w:p>
            <w:pPr>
              <w:spacing w:line="300" w:lineRule="exact"/>
              <w:jc w:val="left"/>
              <w:rPr>
                <w:rFonts w:hint="eastAsia" w:ascii="Times New Roman" w:hAnsi="Times New Roman" w:eastAsia="方正书宋_GBK" w:cs="Times New Roman"/>
                <w:b/>
                <w:lang w:val="en-US" w:eastAsia="zh-CN"/>
              </w:rPr>
            </w:pPr>
          </w:p>
        </w:tc>
        <w:tc>
          <w:tcPr>
            <w:tcW w:w="1524" w:type="dxa"/>
            <w:shd w:val="clear" w:color="auto" w:fill="auto"/>
            <w:vAlign w:val="center"/>
          </w:tcPr>
          <w:p>
            <w:pPr>
              <w:spacing w:line="300" w:lineRule="exact"/>
              <w:jc w:val="left"/>
              <w:rPr>
                <w:rFonts w:hint="default" w:ascii="Times New Roman" w:hAnsi="Times New Roman" w:eastAsia="方正书宋_GBK" w:cs="Times New Roman"/>
                <w:b/>
                <w:lang w:val="en-US" w:eastAsia="zh-CN"/>
              </w:rPr>
            </w:pPr>
          </w:p>
        </w:tc>
        <w:tc>
          <w:tcPr>
            <w:tcW w:w="427" w:type="dxa"/>
            <w:shd w:val="clear" w:color="auto" w:fill="auto"/>
            <w:vAlign w:val="center"/>
          </w:tcPr>
          <w:p>
            <w:pPr>
              <w:spacing w:line="300" w:lineRule="exact"/>
              <w:jc w:val="left"/>
              <w:rPr>
                <w:rFonts w:hint="eastAsia" w:ascii="Times New Roman" w:hAnsi="Times New Roman" w:eastAsia="方正书宋_GBK" w:cs="Times New Roman"/>
                <w:b/>
                <w:lang w:val="en-US" w:eastAsia="zh-CN"/>
              </w:rPr>
            </w:pPr>
          </w:p>
        </w:tc>
        <w:tc>
          <w:tcPr>
            <w:tcW w:w="858"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956.00</w:t>
            </w: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956.00</w:t>
            </w: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956.00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p>
        </w:tc>
        <w:tc>
          <w:tcPr>
            <w:tcW w:w="561"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p>
        </w:tc>
        <w:tc>
          <w:tcPr>
            <w:tcW w:w="976"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p>
        </w:tc>
        <w:tc>
          <w:tcPr>
            <w:tcW w:w="657"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2102" w:type="dxa"/>
            <w:shd w:val="clear" w:color="auto" w:fill="auto"/>
            <w:vAlign w:val="center"/>
          </w:tcPr>
          <w:p>
            <w:pPr>
              <w:spacing w:line="300" w:lineRule="exact"/>
              <w:jc w:val="center"/>
              <w:rPr>
                <w:rFonts w:ascii="Times New Roman" w:hAnsi="Times New Roman" w:eastAsia="方正书宋_GBK" w:cs="Times New Roman"/>
                <w:b/>
              </w:rPr>
            </w:pPr>
          </w:p>
        </w:tc>
        <w:tc>
          <w:tcPr>
            <w:tcW w:w="977"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206.00</w:t>
            </w:r>
          </w:p>
        </w:tc>
        <w:tc>
          <w:tcPr>
            <w:tcW w:w="790" w:type="dxa"/>
            <w:shd w:val="clear" w:color="auto" w:fill="auto"/>
            <w:vAlign w:val="center"/>
          </w:tcPr>
          <w:p>
            <w:pPr>
              <w:spacing w:line="300" w:lineRule="exact"/>
              <w:jc w:val="lef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粪污收集设施</w:t>
            </w:r>
          </w:p>
        </w:tc>
        <w:tc>
          <w:tcPr>
            <w:tcW w:w="1524" w:type="dxa"/>
            <w:shd w:val="clear" w:color="auto" w:fill="auto"/>
            <w:vAlign w:val="center"/>
          </w:tcPr>
          <w:p>
            <w:pPr>
              <w:spacing w:line="300" w:lineRule="exact"/>
              <w:jc w:val="lef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206-0401-yxn-iyw3</w:t>
            </w:r>
          </w:p>
        </w:tc>
        <w:tc>
          <w:tcPr>
            <w:tcW w:w="427" w:type="dxa"/>
            <w:shd w:val="clear" w:color="auto" w:fill="auto"/>
            <w:vAlign w:val="center"/>
          </w:tcPr>
          <w:p>
            <w:pPr>
              <w:spacing w:line="300" w:lineRule="exact"/>
              <w:jc w:val="lef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项</w:t>
            </w:r>
          </w:p>
        </w:tc>
        <w:tc>
          <w:tcPr>
            <w:tcW w:w="858"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25</w:t>
            </w:r>
          </w:p>
        </w:tc>
        <w:tc>
          <w:tcPr>
            <w:tcW w:w="976"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8.24</w:t>
            </w:r>
          </w:p>
        </w:tc>
        <w:tc>
          <w:tcPr>
            <w:tcW w:w="976" w:type="dxa"/>
            <w:shd w:val="clear" w:color="auto" w:fill="auto"/>
            <w:vAlign w:val="center"/>
          </w:tcPr>
          <w:p>
            <w:pPr>
              <w:spacing w:line="300" w:lineRule="exact"/>
              <w:jc w:val="right"/>
              <w:rPr>
                <w:rFonts w:hint="default"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206.00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206.00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206.00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0</w:t>
            </w:r>
          </w:p>
        </w:tc>
        <w:tc>
          <w:tcPr>
            <w:tcW w:w="561"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0</w:t>
            </w:r>
          </w:p>
        </w:tc>
        <w:tc>
          <w:tcPr>
            <w:tcW w:w="657" w:type="dxa"/>
            <w:shd w:val="clear" w:color="auto" w:fill="auto"/>
            <w:vAlign w:val="center"/>
          </w:tcPr>
          <w:p>
            <w:pPr>
              <w:spacing w:line="300" w:lineRule="exact"/>
              <w:jc w:val="right"/>
              <w:rPr>
                <w:rFonts w:hint="eastAsia" w:ascii="Times New Roman" w:hAnsi="Times New Roman" w:eastAsia="方正书宋_GBK" w:cs="Times New Roman"/>
                <w:b/>
                <w:kern w:val="2"/>
                <w:sz w:val="21"/>
                <w:szCs w:val="22"/>
                <w:lang w:val="en-US" w:eastAsia="zh-CN" w:bidi="ar-SA"/>
              </w:rPr>
            </w:pPr>
            <w:r>
              <w:rPr>
                <w:rFonts w:hint="eastAsia" w:ascii="Times New Roman" w:hAnsi="Times New Roman" w:eastAsia="方正书宋_GBK" w:cs="Times New Roman"/>
                <w:b/>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102" w:type="dxa"/>
            <w:shd w:val="clear" w:color="auto" w:fill="auto"/>
            <w:vAlign w:val="center"/>
          </w:tcPr>
          <w:p>
            <w:pPr>
              <w:spacing w:line="300" w:lineRule="exact"/>
              <w:jc w:val="center"/>
              <w:rPr>
                <w:rFonts w:ascii="Times New Roman" w:hAnsi="Times New Roman" w:eastAsia="方正书宋_GBK" w:cs="Times New Roman"/>
                <w:b/>
              </w:rPr>
            </w:pPr>
          </w:p>
        </w:tc>
        <w:tc>
          <w:tcPr>
            <w:tcW w:w="977"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750.00</w:t>
            </w:r>
          </w:p>
        </w:tc>
        <w:tc>
          <w:tcPr>
            <w:tcW w:w="790" w:type="dxa"/>
            <w:shd w:val="clear" w:color="auto" w:fill="auto"/>
            <w:vAlign w:val="center"/>
          </w:tcPr>
          <w:p>
            <w:pPr>
              <w:spacing w:line="300" w:lineRule="exact"/>
              <w:jc w:val="left"/>
              <w:rPr>
                <w:rFonts w:hint="eastAsia"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深度贫困村面膜提升改造</w:t>
            </w:r>
          </w:p>
        </w:tc>
        <w:tc>
          <w:tcPr>
            <w:tcW w:w="1524" w:type="dxa"/>
            <w:shd w:val="clear" w:color="auto" w:fill="auto"/>
            <w:vAlign w:val="center"/>
          </w:tcPr>
          <w:p>
            <w:pPr>
              <w:spacing w:line="300" w:lineRule="exact"/>
              <w:jc w:val="lef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206-0401-yxn-0vg5</w:t>
            </w:r>
          </w:p>
        </w:tc>
        <w:tc>
          <w:tcPr>
            <w:tcW w:w="427" w:type="dxa"/>
            <w:shd w:val="clear" w:color="auto" w:fill="auto"/>
            <w:vAlign w:val="center"/>
          </w:tcPr>
          <w:p>
            <w:pPr>
              <w:spacing w:line="300" w:lineRule="exact"/>
              <w:jc w:val="left"/>
              <w:rPr>
                <w:rFonts w:hint="eastAsia"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项</w:t>
            </w:r>
          </w:p>
        </w:tc>
        <w:tc>
          <w:tcPr>
            <w:tcW w:w="858"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2500</w:t>
            </w: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0.3</w:t>
            </w: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750.00</w:t>
            </w: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750.00</w:t>
            </w:r>
          </w:p>
        </w:tc>
        <w:tc>
          <w:tcPr>
            <w:tcW w:w="976" w:type="dxa"/>
            <w:shd w:val="clear" w:color="auto" w:fill="auto"/>
            <w:vAlign w:val="center"/>
          </w:tcPr>
          <w:p>
            <w:pPr>
              <w:spacing w:line="300" w:lineRule="exact"/>
              <w:jc w:val="right"/>
              <w:rPr>
                <w:rFonts w:hint="default"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750.00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0</w:t>
            </w:r>
          </w:p>
        </w:tc>
        <w:tc>
          <w:tcPr>
            <w:tcW w:w="561"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0</w:t>
            </w:r>
          </w:p>
        </w:tc>
        <w:tc>
          <w:tcPr>
            <w:tcW w:w="976"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0</w:t>
            </w:r>
          </w:p>
        </w:tc>
        <w:tc>
          <w:tcPr>
            <w:tcW w:w="657" w:type="dxa"/>
            <w:shd w:val="clear" w:color="auto" w:fill="auto"/>
            <w:vAlign w:val="center"/>
          </w:tcPr>
          <w:p>
            <w:pPr>
              <w:spacing w:line="300" w:lineRule="exact"/>
              <w:jc w:val="right"/>
              <w:rPr>
                <w:rFonts w:hint="eastAsia" w:ascii="Times New Roman" w:hAnsi="Times New Roman" w:eastAsia="方正书宋_GBK" w:cs="Times New Roman"/>
                <w:b/>
                <w:lang w:val="en-US" w:eastAsia="zh-CN"/>
              </w:rPr>
            </w:pPr>
            <w:r>
              <w:rPr>
                <w:rFonts w:hint="eastAsia" w:ascii="Times New Roman" w:hAnsi="Times New Roman" w:eastAsia="方正书宋_GBK" w:cs="Times New Roman"/>
                <w:b/>
                <w:lang w:val="en-US" w:eastAsia="zh-CN"/>
              </w:rPr>
              <w:t>0</w:t>
            </w:r>
          </w:p>
        </w:tc>
      </w:tr>
    </w:tbl>
    <w:p>
      <w:pPr>
        <w:autoSpaceDE w:val="0"/>
        <w:autoSpaceDN w:val="0"/>
        <w:adjustRightInd w:val="0"/>
        <w:ind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七、国有资产信息</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丰宁县美丽办上年末固定资产金额为</w:t>
      </w:r>
      <w:r>
        <w:rPr>
          <w:rFonts w:hint="eastAsia" w:ascii="仿宋" w:hAnsi="仿宋" w:eastAsia="仿宋" w:cs="仿宋"/>
          <w:sz w:val="32"/>
          <w:szCs w:val="32"/>
          <w:lang w:val="en-US" w:eastAsia="zh-CN"/>
        </w:rPr>
        <w:t>37.167116</w:t>
      </w:r>
      <w:r>
        <w:rPr>
          <w:rFonts w:hint="eastAsia" w:ascii="仿宋" w:hAnsi="仿宋" w:eastAsia="仿宋" w:cs="仿宋"/>
          <w:sz w:val="32"/>
          <w:szCs w:val="32"/>
        </w:rPr>
        <w:t>万元（详见下表），本年度各单位拟购置固定资产总额为</w:t>
      </w:r>
      <w:r>
        <w:rPr>
          <w:rFonts w:hint="eastAsia" w:ascii="仿宋" w:hAnsi="仿宋" w:eastAsia="仿宋" w:cs="仿宋"/>
          <w:sz w:val="32"/>
          <w:szCs w:val="32"/>
          <w:lang w:val="en-US" w:eastAsia="zh-CN"/>
        </w:rPr>
        <w:t>1</w:t>
      </w:r>
      <w:r>
        <w:rPr>
          <w:rFonts w:hint="eastAsia" w:ascii="仿宋" w:hAnsi="仿宋" w:eastAsia="仿宋" w:cs="仿宋"/>
          <w:sz w:val="32"/>
          <w:szCs w:val="32"/>
        </w:rPr>
        <w:t>万元。</w:t>
      </w:r>
    </w:p>
    <w:tbl>
      <w:tblPr>
        <w:tblStyle w:val="8"/>
        <w:tblW w:w="13482" w:type="dxa"/>
        <w:jc w:val="center"/>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jc w:val="center"/>
        </w:trPr>
        <w:tc>
          <w:tcPr>
            <w:tcW w:w="13482" w:type="dxa"/>
            <w:gridSpan w:val="3"/>
            <w:tcBorders>
              <w:top w:val="nil"/>
              <w:left w:val="nil"/>
              <w:bottom w:val="nil"/>
              <w:right w:val="nil"/>
            </w:tcBorders>
            <w:shd w:val="clear" w:color="auto" w:fill="auto"/>
            <w:vAlign w:val="center"/>
          </w:tcPr>
          <w:p>
            <w:pPr>
              <w:widowControl/>
              <w:jc w:val="center"/>
              <w:rPr>
                <w:rFonts w:ascii="Times New Roman" w:hAnsi="Times New Roman" w:eastAsia="方正仿宋_GBK" w:cs="Times New Roman"/>
                <w:b/>
                <w:bCs/>
                <w:kern w:val="0"/>
                <w:sz w:val="32"/>
                <w:szCs w:val="32"/>
              </w:rPr>
            </w:pPr>
            <w:r>
              <w:rPr>
                <w:rFonts w:ascii="Times New Roman" w:hAnsi="Times New Roman" w:eastAsia="方正仿宋_GBK"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jc w:val="center"/>
        </w:trPr>
        <w:tc>
          <w:tcPr>
            <w:tcW w:w="8379" w:type="dxa"/>
            <w:gridSpan w:val="2"/>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编制部门：丰宁县美丽办</w:t>
            </w:r>
          </w:p>
        </w:tc>
        <w:tc>
          <w:tcPr>
            <w:tcW w:w="5103" w:type="dxa"/>
            <w:tcBorders>
              <w:top w:val="nil"/>
              <w:left w:val="nil"/>
              <w:bottom w:val="nil"/>
              <w:right w:val="nil"/>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截止时间：2017年12月31日  </w:t>
            </w:r>
          </w:p>
        </w:tc>
      </w:tr>
      <w:tr>
        <w:tblPrEx>
          <w:tblCellMar>
            <w:top w:w="0" w:type="dxa"/>
            <w:left w:w="108" w:type="dxa"/>
            <w:bottom w:w="0" w:type="dxa"/>
            <w:right w:w="108" w:type="dxa"/>
          </w:tblCellMar>
        </w:tblPrEx>
        <w:trPr>
          <w:trHeight w:val="645" w:hRule="atLeast"/>
          <w:jc w:val="center"/>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b/>
                <w:bCs/>
                <w:kern w:val="0"/>
                <w:sz w:val="22"/>
              </w:rPr>
            </w:pPr>
            <w:r>
              <w:rPr>
                <w:rFonts w:ascii="Times New Roman" w:hAnsi="Times New Roman" w:eastAsia="方正仿宋_GBK" w:cs="Times New Roman"/>
                <w:b/>
                <w:bCs/>
                <w:kern w:val="0"/>
                <w:sz w:val="22"/>
              </w:rPr>
              <w:t>价值（金额单位：万元）</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ascii="Times New Roman" w:hAnsi="Times New Roman" w:eastAsia="方正仿宋_GBK" w:cs="Times New Roman"/>
                <w:kern w:val="0"/>
                <w:sz w:val="22"/>
              </w:rPr>
              <w:t>——</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37.167116</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r>
              <w:rPr>
                <w:rFonts w:hint="eastAsia" w:ascii="Times New Roman" w:hAnsi="Times New Roman" w:eastAsia="方正仿宋_GBK" w:cs="Times New Roman"/>
                <w:kern w:val="0"/>
                <w:sz w:val="22"/>
              </w:rPr>
              <w:t>0.00</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 xml:space="preserve">   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方正仿宋_GBK" w:cs="Times New Roman"/>
                <w:kern w:val="0"/>
                <w:sz w:val="22"/>
                <w:lang w:eastAsia="zh-CN"/>
              </w:rPr>
            </w:pPr>
            <w:r>
              <w:rPr>
                <w:rFonts w:hint="eastAsia" w:ascii="Times New Roman" w:hAnsi="Times New Roman" w:eastAsia="方正仿宋_GBK" w:cs="Times New Roman"/>
                <w:kern w:val="0"/>
                <w:sz w:val="22"/>
                <w:lang w:val="en-US" w:eastAsia="zh-CN"/>
              </w:rPr>
              <w:t>1</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17.83017</w:t>
            </w: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3、单价在50万元以上的设备</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r>
      <w:tr>
        <w:tblPrEx>
          <w:tblCellMar>
            <w:top w:w="0" w:type="dxa"/>
            <w:left w:w="108" w:type="dxa"/>
            <w:bottom w:w="0" w:type="dxa"/>
            <w:right w:w="108" w:type="dxa"/>
          </w:tblCellMar>
        </w:tblPrEx>
        <w:trPr>
          <w:trHeight w:val="645" w:hRule="atLeast"/>
          <w:jc w:val="center"/>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方正仿宋_GBK" w:cs="Times New Roman"/>
                <w:kern w:val="0"/>
                <w:sz w:val="22"/>
              </w:rPr>
            </w:pPr>
            <w:r>
              <w:rPr>
                <w:rFonts w:ascii="Times New Roman" w:hAnsi="Times New Roman" w:eastAsia="方正仿宋_GBK"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方正仿宋_GBK" w:cs="Times New Roman"/>
                <w:kern w:val="0"/>
                <w:sz w:val="22"/>
              </w:rPr>
            </w:pP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方正仿宋_GBK" w:cs="Times New Roman"/>
                <w:kern w:val="0"/>
                <w:sz w:val="22"/>
                <w:lang w:val="en-US" w:eastAsia="zh-CN"/>
              </w:rPr>
            </w:pPr>
            <w:r>
              <w:rPr>
                <w:rFonts w:hint="eastAsia" w:ascii="Times New Roman" w:hAnsi="Times New Roman" w:eastAsia="方正仿宋_GBK" w:cs="Times New Roman"/>
                <w:kern w:val="0"/>
                <w:sz w:val="22"/>
                <w:lang w:val="en-US" w:eastAsia="zh-CN"/>
              </w:rPr>
              <w:t>19.336946</w:t>
            </w:r>
          </w:p>
        </w:tc>
      </w:tr>
    </w:tbl>
    <w:p>
      <w:pPr>
        <w:autoSpaceDE w:val="0"/>
        <w:autoSpaceDN w:val="0"/>
        <w:adjustRightInd w:val="0"/>
        <w:ind w:left="198" w:firstLine="643" w:firstLineChars="200"/>
        <w:jc w:val="left"/>
        <w:rPr>
          <w:rFonts w:hint="eastAsia" w:ascii="仿宋" w:hAnsi="仿宋" w:eastAsia="仿宋" w:cs="仿宋"/>
          <w:b/>
          <w:bCs/>
          <w:sz w:val="32"/>
          <w:szCs w:val="32"/>
        </w:rPr>
      </w:pPr>
      <w:r>
        <w:rPr>
          <w:rFonts w:hint="eastAsia" w:ascii="仿宋" w:hAnsi="仿宋" w:eastAsia="仿宋" w:cs="仿宋"/>
          <w:b/>
          <w:bCs/>
          <w:sz w:val="32"/>
          <w:szCs w:val="32"/>
        </w:rPr>
        <w:t>八、名词解释</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1、一般公共预算拨款收入：</w:t>
      </w:r>
      <w:r>
        <w:rPr>
          <w:rFonts w:hint="eastAsia" w:ascii="仿宋" w:hAnsi="仿宋" w:eastAsia="仿宋" w:cs="仿宋"/>
          <w:sz w:val="32"/>
          <w:szCs w:val="32"/>
        </w:rPr>
        <w:t>指县级财政当年拨付的资金。</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2、事业收入：</w:t>
      </w:r>
      <w:r>
        <w:rPr>
          <w:rFonts w:hint="eastAsia" w:ascii="仿宋" w:hAnsi="仿宋" w:eastAsia="仿宋" w:cs="仿宋"/>
          <w:sz w:val="32"/>
          <w:szCs w:val="32"/>
        </w:rPr>
        <w:t>指事业单位开展专业业务活动及辅助活动所取得的收入。</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3、基本支出：</w:t>
      </w:r>
      <w:r>
        <w:rPr>
          <w:rFonts w:hint="eastAsia" w:ascii="仿宋" w:hAnsi="仿宋" w:eastAsia="仿宋" w:cs="仿宋"/>
          <w:sz w:val="32"/>
          <w:szCs w:val="32"/>
        </w:rPr>
        <w:t>指为保障机构正常运转、完成日常工作任务而发生的人员支出和公用支出。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4、项目支出：</w:t>
      </w:r>
      <w:r>
        <w:rPr>
          <w:rFonts w:hint="eastAsia" w:ascii="仿宋" w:hAnsi="仿宋" w:eastAsia="仿宋" w:cs="仿宋"/>
          <w:sz w:val="32"/>
          <w:szCs w:val="32"/>
        </w:rPr>
        <w:t>指在基本支出之外为完成特定行政任务和事业发展目标所发生的支出。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5、“三公”经费：</w:t>
      </w:r>
      <w:r>
        <w:rPr>
          <w:rFonts w:hint="eastAsia" w:ascii="仿宋" w:hAnsi="仿宋" w:eastAsia="仿宋" w:cs="仿宋"/>
          <w:sz w:val="32"/>
          <w:szCs w:val="32"/>
        </w:rPr>
        <w:t>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hint="eastAsia" w:ascii="仿宋" w:hAnsi="仿宋" w:eastAsia="仿宋" w:cs="仿宋"/>
          <w:sz w:val="32"/>
          <w:szCs w:val="32"/>
        </w:rPr>
      </w:pPr>
      <w:r>
        <w:rPr>
          <w:rFonts w:hint="eastAsia" w:ascii="仿宋" w:hAnsi="仿宋" w:eastAsia="仿宋" w:cs="仿宋"/>
          <w:b/>
          <w:sz w:val="32"/>
          <w:szCs w:val="32"/>
        </w:rPr>
        <w:t>6、机关运行费：</w:t>
      </w:r>
      <w:r>
        <w:rPr>
          <w:rFonts w:hint="eastAsia" w:ascii="仿宋" w:hAnsi="仿宋" w:eastAsia="仿宋" w:cs="仿宋"/>
          <w:sz w:val="32"/>
          <w:szCs w:val="32"/>
        </w:rPr>
        <w:t>是指各部门的公用经费，包括办公费、印刷费、咨询费、手续费、电费、差旅费、维修费、租赁费、会议费、公务接待费、劳务费、工会经费、福利费、一般设备购置费、公务用车运行维护费以及其他费用等</w:t>
      </w:r>
    </w:p>
    <w:p>
      <w:pPr>
        <w:tabs>
          <w:tab w:val="left" w:pos="11490"/>
        </w:tabs>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九、其他需要说明的事项</w:t>
      </w:r>
    </w:p>
    <w:p>
      <w:pPr>
        <w:ind w:firstLine="640" w:firstLineChars="200"/>
        <w:jc w:val="left"/>
        <w:outlineLvl w:val="0"/>
        <w:rPr>
          <w:rFonts w:hint="eastAsia" w:ascii="仿宋" w:hAnsi="仿宋" w:eastAsia="仿宋" w:cs="仿宋"/>
          <w:sz w:val="32"/>
          <w:szCs w:val="32"/>
        </w:rPr>
      </w:pPr>
      <w:r>
        <w:rPr>
          <w:rFonts w:hint="eastAsia" w:ascii="仿宋" w:hAnsi="仿宋" w:eastAsia="仿宋" w:cs="仿宋"/>
          <w:sz w:val="32"/>
          <w:szCs w:val="32"/>
        </w:rPr>
        <w:t>1、我部门无政府基金预算，《政府基金预算财政拨款支出表》为空表列示。</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2、我部门无国有资本经营预算，《国有资本经营预算财政拨款支出表》为空表列示。</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3、我部门无“三公”经费支出预算，《财政拨款“三公”经费支出表》为空表列示。</w:t>
      </w:r>
    </w:p>
    <w:p>
      <w:pPr>
        <w:tabs>
          <w:tab w:val="left" w:pos="11490"/>
        </w:tabs>
        <w:ind w:firstLine="640" w:firstLineChars="200"/>
        <w:rPr>
          <w:rFonts w:hint="eastAsia" w:ascii="仿宋" w:hAnsi="仿宋" w:eastAsia="仿宋" w:cs="仿宋"/>
          <w:sz w:val="32"/>
          <w:szCs w:val="32"/>
        </w:rPr>
      </w:pPr>
      <w:r>
        <w:rPr>
          <w:rFonts w:hint="eastAsia" w:ascii="仿宋" w:hAnsi="仿宋" w:eastAsia="仿宋" w:cs="仿宋"/>
          <w:sz w:val="32"/>
          <w:szCs w:val="32"/>
        </w:rPr>
        <w:t>3、我部门无一般公共预算基本支出预算，《一般公共预算财政拨款基本支出》为空表列示。</w:t>
      </w:r>
    </w:p>
    <w:sectPr>
      <w:footerReference r:id="rId3" w:type="default"/>
      <w:pgSz w:w="16838" w:h="11905" w:orient="landscape"/>
      <w:pgMar w:top="1304" w:right="1984" w:bottom="1304" w:left="1134"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3547527"/>
    </w:sdtPr>
    <w:sdtContent>
      <w:p>
        <w:pPr>
          <w:pStyle w:val="3"/>
          <w:jc w:val="center"/>
        </w:pPr>
        <w:r>
          <w:fldChar w:fldCharType="begin"/>
        </w:r>
        <w:r>
          <w:instrText xml:space="preserve">PAGE   \* MERGEFORMAT</w:instrText>
        </w:r>
        <w:r>
          <w:fldChar w:fldCharType="separate"/>
        </w:r>
        <w:r>
          <w:rPr>
            <w:lang w:val="zh-CN"/>
          </w:rPr>
          <w:t>6</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916BEB"/>
    <w:multiLevelType w:val="singleLevel"/>
    <w:tmpl w:val="80916BEB"/>
    <w:lvl w:ilvl="0" w:tentative="0">
      <w:start w:val="2"/>
      <w:numFmt w:val="chineseCounting"/>
      <w:suff w:val="nothing"/>
      <w:lvlText w:val="（%1）"/>
      <w:lvlJc w:val="left"/>
      <w:rPr>
        <w:rFonts w:hint="eastAsia"/>
      </w:rPr>
    </w:lvl>
  </w:abstractNum>
  <w:abstractNum w:abstractNumId="1">
    <w:nsid w:val="95A243A7"/>
    <w:multiLevelType w:val="singleLevel"/>
    <w:tmpl w:val="95A243A7"/>
    <w:lvl w:ilvl="0" w:tentative="0">
      <w:start w:val="1"/>
      <w:numFmt w:val="chineseCounting"/>
      <w:suff w:val="nothing"/>
      <w:lvlText w:val="（%1）"/>
      <w:lvlJc w:val="left"/>
      <w:rPr>
        <w:rFonts w:hint="eastAsia"/>
      </w:rPr>
    </w:lvl>
  </w:abstractNum>
  <w:abstractNum w:abstractNumId="2">
    <w:nsid w:val="D3C6AACC"/>
    <w:multiLevelType w:val="singleLevel"/>
    <w:tmpl w:val="D3C6AACC"/>
    <w:lvl w:ilvl="0" w:tentative="0">
      <w:start w:val="4"/>
      <w:numFmt w:val="chineseCounting"/>
      <w:suff w:val="nothing"/>
      <w:lvlText w:val="%1、"/>
      <w:lvlJc w:val="left"/>
      <w:rPr>
        <w:rFonts w:hint="eastAsia"/>
      </w:rPr>
    </w:lvl>
  </w:abstractNum>
  <w:abstractNum w:abstractNumId="3">
    <w:nsid w:val="F0F95F3A"/>
    <w:multiLevelType w:val="singleLevel"/>
    <w:tmpl w:val="F0F95F3A"/>
    <w:lvl w:ilvl="0" w:tentative="0">
      <w:start w:val="3"/>
      <w:numFmt w:val="decimal"/>
      <w:suff w:val="nothing"/>
      <w:lvlText w:val="%1、"/>
      <w:lvlJc w:val="left"/>
    </w:lvl>
  </w:abstractNum>
  <w:abstractNum w:abstractNumId="4">
    <w:nsid w:val="F6D015DD"/>
    <w:multiLevelType w:val="singleLevel"/>
    <w:tmpl w:val="F6D015DD"/>
    <w:lvl w:ilvl="0" w:tentative="0">
      <w:start w:val="1"/>
      <w:numFmt w:val="decimal"/>
      <w:suff w:val="nothing"/>
      <w:lvlText w:val="（%1）"/>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60"/>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JjZWE4MGNkOGZiNDY5ZjkwYzI3N2EyNDg3NDNjNzgifQ=="/>
  </w:docVars>
  <w:rsids>
    <w:rsidRoot w:val="00F66032"/>
    <w:rsid w:val="000358DB"/>
    <w:rsid w:val="00037AF6"/>
    <w:rsid w:val="00075D5F"/>
    <w:rsid w:val="000B529B"/>
    <w:rsid w:val="000B75EB"/>
    <w:rsid w:val="000C3A19"/>
    <w:rsid w:val="000F6C1C"/>
    <w:rsid w:val="001245BB"/>
    <w:rsid w:val="001251A3"/>
    <w:rsid w:val="00173D1A"/>
    <w:rsid w:val="001924F2"/>
    <w:rsid w:val="001C217C"/>
    <w:rsid w:val="001D2094"/>
    <w:rsid w:val="001F7873"/>
    <w:rsid w:val="00204438"/>
    <w:rsid w:val="00222F64"/>
    <w:rsid w:val="00241FD4"/>
    <w:rsid w:val="00251B12"/>
    <w:rsid w:val="002872BC"/>
    <w:rsid w:val="00293A59"/>
    <w:rsid w:val="00296113"/>
    <w:rsid w:val="002A673A"/>
    <w:rsid w:val="002A7D60"/>
    <w:rsid w:val="002C5E13"/>
    <w:rsid w:val="002C62BC"/>
    <w:rsid w:val="002C6420"/>
    <w:rsid w:val="002E0EB8"/>
    <w:rsid w:val="002F3E58"/>
    <w:rsid w:val="00302F50"/>
    <w:rsid w:val="0030542C"/>
    <w:rsid w:val="00311B7A"/>
    <w:rsid w:val="00313A9B"/>
    <w:rsid w:val="00347C3D"/>
    <w:rsid w:val="003743CC"/>
    <w:rsid w:val="003831A4"/>
    <w:rsid w:val="00391FBF"/>
    <w:rsid w:val="00396F6C"/>
    <w:rsid w:val="003A613E"/>
    <w:rsid w:val="003B3EDA"/>
    <w:rsid w:val="00424943"/>
    <w:rsid w:val="0043175C"/>
    <w:rsid w:val="00437296"/>
    <w:rsid w:val="00451590"/>
    <w:rsid w:val="00451871"/>
    <w:rsid w:val="00457F66"/>
    <w:rsid w:val="004611DE"/>
    <w:rsid w:val="00466AF3"/>
    <w:rsid w:val="004706DE"/>
    <w:rsid w:val="00472923"/>
    <w:rsid w:val="00477E85"/>
    <w:rsid w:val="004B0C3A"/>
    <w:rsid w:val="004D5788"/>
    <w:rsid w:val="004E3066"/>
    <w:rsid w:val="004E74CD"/>
    <w:rsid w:val="00535309"/>
    <w:rsid w:val="0054029F"/>
    <w:rsid w:val="005458DA"/>
    <w:rsid w:val="00550813"/>
    <w:rsid w:val="00555DD0"/>
    <w:rsid w:val="00572067"/>
    <w:rsid w:val="00573562"/>
    <w:rsid w:val="00581034"/>
    <w:rsid w:val="00583586"/>
    <w:rsid w:val="00590ECE"/>
    <w:rsid w:val="005A4117"/>
    <w:rsid w:val="005C1631"/>
    <w:rsid w:val="006055C8"/>
    <w:rsid w:val="006072BA"/>
    <w:rsid w:val="00613DEA"/>
    <w:rsid w:val="00614A29"/>
    <w:rsid w:val="00632255"/>
    <w:rsid w:val="00655408"/>
    <w:rsid w:val="006642F8"/>
    <w:rsid w:val="00673D76"/>
    <w:rsid w:val="006854F0"/>
    <w:rsid w:val="0069538F"/>
    <w:rsid w:val="006A6BC1"/>
    <w:rsid w:val="006B06D2"/>
    <w:rsid w:val="006B1C4A"/>
    <w:rsid w:val="006B610D"/>
    <w:rsid w:val="006C3D96"/>
    <w:rsid w:val="006D014F"/>
    <w:rsid w:val="006D06A9"/>
    <w:rsid w:val="006E49F5"/>
    <w:rsid w:val="006F109E"/>
    <w:rsid w:val="006F32D0"/>
    <w:rsid w:val="006F79FE"/>
    <w:rsid w:val="007013C8"/>
    <w:rsid w:val="00707206"/>
    <w:rsid w:val="00712044"/>
    <w:rsid w:val="00713F74"/>
    <w:rsid w:val="00716222"/>
    <w:rsid w:val="007252F4"/>
    <w:rsid w:val="00733039"/>
    <w:rsid w:val="007471F9"/>
    <w:rsid w:val="00753836"/>
    <w:rsid w:val="0075393C"/>
    <w:rsid w:val="00753C72"/>
    <w:rsid w:val="00754592"/>
    <w:rsid w:val="00776C08"/>
    <w:rsid w:val="007A5ADE"/>
    <w:rsid w:val="007C219A"/>
    <w:rsid w:val="007E1DA8"/>
    <w:rsid w:val="007F6C26"/>
    <w:rsid w:val="0080110C"/>
    <w:rsid w:val="00813208"/>
    <w:rsid w:val="008334AE"/>
    <w:rsid w:val="00836FED"/>
    <w:rsid w:val="0083724E"/>
    <w:rsid w:val="00845271"/>
    <w:rsid w:val="00845CD2"/>
    <w:rsid w:val="00852B0D"/>
    <w:rsid w:val="00867334"/>
    <w:rsid w:val="00874F32"/>
    <w:rsid w:val="00881183"/>
    <w:rsid w:val="00881692"/>
    <w:rsid w:val="008A2A0D"/>
    <w:rsid w:val="008A6576"/>
    <w:rsid w:val="008B3CC5"/>
    <w:rsid w:val="008B52CD"/>
    <w:rsid w:val="008E4261"/>
    <w:rsid w:val="008F4662"/>
    <w:rsid w:val="009039E5"/>
    <w:rsid w:val="00905D08"/>
    <w:rsid w:val="00925753"/>
    <w:rsid w:val="00940775"/>
    <w:rsid w:val="009425F4"/>
    <w:rsid w:val="009579C1"/>
    <w:rsid w:val="00966C5C"/>
    <w:rsid w:val="00973104"/>
    <w:rsid w:val="00993FC8"/>
    <w:rsid w:val="00995BF0"/>
    <w:rsid w:val="009A16D5"/>
    <w:rsid w:val="009A353D"/>
    <w:rsid w:val="009A4D14"/>
    <w:rsid w:val="009B0B77"/>
    <w:rsid w:val="009B511E"/>
    <w:rsid w:val="009D0E6B"/>
    <w:rsid w:val="00A3458E"/>
    <w:rsid w:val="00A44E3D"/>
    <w:rsid w:val="00A55782"/>
    <w:rsid w:val="00A72D2E"/>
    <w:rsid w:val="00A74447"/>
    <w:rsid w:val="00A74CE5"/>
    <w:rsid w:val="00A87F64"/>
    <w:rsid w:val="00A911E7"/>
    <w:rsid w:val="00A91AA4"/>
    <w:rsid w:val="00A939D9"/>
    <w:rsid w:val="00AA0335"/>
    <w:rsid w:val="00AB3220"/>
    <w:rsid w:val="00AC5D32"/>
    <w:rsid w:val="00AD7316"/>
    <w:rsid w:val="00AE0723"/>
    <w:rsid w:val="00B16644"/>
    <w:rsid w:val="00B20712"/>
    <w:rsid w:val="00B43238"/>
    <w:rsid w:val="00B45DD3"/>
    <w:rsid w:val="00B75216"/>
    <w:rsid w:val="00B91D52"/>
    <w:rsid w:val="00B92216"/>
    <w:rsid w:val="00B9477E"/>
    <w:rsid w:val="00B9490F"/>
    <w:rsid w:val="00BA1ACD"/>
    <w:rsid w:val="00BA5DAF"/>
    <w:rsid w:val="00BC4407"/>
    <w:rsid w:val="00BC6015"/>
    <w:rsid w:val="00BD09F8"/>
    <w:rsid w:val="00C26A8D"/>
    <w:rsid w:val="00C735DE"/>
    <w:rsid w:val="00C82BAB"/>
    <w:rsid w:val="00CA08B2"/>
    <w:rsid w:val="00CA7176"/>
    <w:rsid w:val="00CB1CB7"/>
    <w:rsid w:val="00CB2A40"/>
    <w:rsid w:val="00CC75B0"/>
    <w:rsid w:val="00CD2773"/>
    <w:rsid w:val="00CE143B"/>
    <w:rsid w:val="00CE380F"/>
    <w:rsid w:val="00D24B02"/>
    <w:rsid w:val="00D27003"/>
    <w:rsid w:val="00D52A41"/>
    <w:rsid w:val="00D92E40"/>
    <w:rsid w:val="00DD1454"/>
    <w:rsid w:val="00DD235F"/>
    <w:rsid w:val="00DD32DF"/>
    <w:rsid w:val="00DE60A3"/>
    <w:rsid w:val="00E167C7"/>
    <w:rsid w:val="00E177E8"/>
    <w:rsid w:val="00E53724"/>
    <w:rsid w:val="00E60B3B"/>
    <w:rsid w:val="00E75DEC"/>
    <w:rsid w:val="00E8404B"/>
    <w:rsid w:val="00E93430"/>
    <w:rsid w:val="00EC47F6"/>
    <w:rsid w:val="00EC4F2D"/>
    <w:rsid w:val="00ED00D0"/>
    <w:rsid w:val="00F050C6"/>
    <w:rsid w:val="00F07841"/>
    <w:rsid w:val="00F10904"/>
    <w:rsid w:val="00F17BC1"/>
    <w:rsid w:val="00F641BA"/>
    <w:rsid w:val="00F66032"/>
    <w:rsid w:val="00F87C1E"/>
    <w:rsid w:val="00F958C2"/>
    <w:rsid w:val="00F978B2"/>
    <w:rsid w:val="00FB6467"/>
    <w:rsid w:val="00FE04CD"/>
    <w:rsid w:val="00FF4634"/>
    <w:rsid w:val="05ED3820"/>
    <w:rsid w:val="112B3B17"/>
    <w:rsid w:val="13A04F6B"/>
    <w:rsid w:val="15CF3612"/>
    <w:rsid w:val="18965F4E"/>
    <w:rsid w:val="2E617A7A"/>
    <w:rsid w:val="34FA05DD"/>
    <w:rsid w:val="3D5A1627"/>
    <w:rsid w:val="3E7A4D58"/>
    <w:rsid w:val="422E6EF5"/>
    <w:rsid w:val="44047287"/>
    <w:rsid w:val="6827460D"/>
    <w:rsid w:val="715A6964"/>
    <w:rsid w:val="765769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toc 2"/>
    <w:basedOn w:val="1"/>
    <w:next w:val="1"/>
    <w:qFormat/>
    <w:uiPriority w:val="39"/>
    <w:pPr>
      <w:ind w:left="420" w:leftChars="200"/>
    </w:pPr>
    <w:rPr>
      <w:rFonts w:ascii="Times New Roman" w:hAnsi="Times New Roman" w:eastAsia="宋体" w:cs="Times New Roman"/>
      <w:szCs w:val="24"/>
    </w:rPr>
  </w:style>
  <w:style w:type="paragraph" w:styleId="7">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10">
    <w:name w:val="Hyperlink"/>
    <w:unhideWhenUsed/>
    <w:qFormat/>
    <w:uiPriority w:val="99"/>
    <w:rPr>
      <w:color w:val="0000FF"/>
      <w:u w:val="single"/>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正文文本 + 粗体"/>
    <w:basedOn w:val="9"/>
    <w:qFormat/>
    <w:uiPriority w:val="0"/>
    <w:rPr>
      <w:b/>
      <w:bCs/>
    </w:rPr>
  </w:style>
  <w:style w:type="character" w:customStyle="1" w:styleId="16">
    <w:name w:val="hei141"/>
    <w:basedOn w:val="9"/>
    <w:qFormat/>
    <w:uiPriority w:val="99"/>
    <w:rPr>
      <w:rFonts w:ascii="宋体" w:hAnsi="宋体" w:eastAsia="宋体" w:cs="Times New Roman"/>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42D7-F970-41E5-8DDE-1CD1875BD6F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664</Words>
  <Characters>3789</Characters>
  <Lines>31</Lines>
  <Paragraphs>8</Paragraphs>
  <TotalTime>1</TotalTime>
  <ScaleCrop>false</ScaleCrop>
  <LinksUpToDate>false</LinksUpToDate>
  <CharactersWithSpaces>4445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2017-01-13T03:22:00Z</dcterms:created>
  <dc:creator>guest</dc:creator>
  <cp:lastModifiedBy>。</cp:lastModifiedBy>
  <cp:lastPrinted>2017-11-09T01:12:00Z</cp:lastPrinted>
  <dcterms:modified xsi:type="dcterms:W3CDTF">2024-04-22T07:06:36Z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9B3657EFFD974967A6C4E74E06A46339_12</vt:lpwstr>
  </property>
</Properties>
</file>