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
        <w:rPr>
          <w:rFonts w:ascii="黑体" w:eastAsia="黑体" w:hAnsi="黑体" w:cs="黑体"/>
          <w:sz w:val="56"/>
          <w:szCs w:val="72"/>
        </w:rPr>
        <mc:AlternateContent>
          <mc:Choice Requires="wps">
            <w:drawing>
              <wp:anchor distT="0" distB="0" distL="114300" distR="114300" simplePos="0" relativeHeight="251684864" behindDoc="1" locked="0" layoutInCell="1" allowOverlap="1">
                <wp:simplePos x="0" y="0"/>
                <wp:positionH relativeFrom="column">
                  <wp:posOffset>-1035050</wp:posOffset>
                </wp:positionH>
                <wp:positionV relativeFrom="paragraph">
                  <wp:posOffset>-1296035</wp:posOffset>
                </wp:positionV>
                <wp:extent cx="7740650" cy="10956925"/>
                <wp:effectExtent l="19050" t="19050" r="31750" b="53975"/>
                <wp:wrapNone/>
                <wp:docPr id="18" name="文本框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7740650" cy="10956925"/>
                        </a:xfrm>
                        <a:prstGeom prst="rect">
                          <a:avLst/>
                        </a:prstGeom>
                        <a:solidFill>
                          <a:srgbClr val="4BACC6"/>
                        </a:solidFill>
                        <a:ln w="38100">
                          <a:solidFill>
                            <a:srgbClr val="F2F2F2"/>
                          </a:solidFill>
                          <a:miter lim="0"/>
                          <a:headEnd/>
                          <a:tailEnd/>
                        </a:ln>
                        <a:effectLst>
                          <a:outerShdw blurRad="0" dist="28398" dir="3806096" sx="100000" sy="100000" kx="0" ky="0" algn="ctr" rotWithShape="0">
                            <a:srgbClr val="205867">
                              <a:alpha val="50000"/>
                            </a:srgbClr>
                          </a:outerShdw>
                        </a:effectLst>
                      </wps:spPr>
                      <wps:txbx>
                        <w:txbxContent>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68" o:spid="_x0000_s1025" type="#_x0000_t202" style="width:609.5pt;height:862.75pt;margin-top:-102.05pt;margin-left:-81.5pt;mso-height-relative:page;mso-width-relative:page;position:absolute;z-index:-251630592" coordsize="21600,21600" filled="t" fillcolor="#4bacc6" stroked="t" strokecolor="#f2f2f2">
                <v:stroke joinstyle="miter"/>
                <v:shadow on="t" color="#205867" opacity="0.5" origin="0,0" offset="1pt,2pt" matrix="1,0,0,1"/>
                <o:lock v:ext="edit" aspectratio="f"/>
                <v:textbox>
                  <w:txbxContent>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1" name="椭圆 8"/>
                <wp:cNvGraphicFramePr/>
                <a:graphic xmlns:a="http://schemas.openxmlformats.org/drawingml/2006/main">
                  <a:graphicData uri="http://schemas.microsoft.com/office/word/2010/wordprocessingShape">
                    <wps:wsp xmlns:wps="http://schemas.microsoft.com/office/word/2010/wordprocessingShape">
                      <wps:cNvSpPr/>
                      <wps:spPr>
                        <a:xfrm>
                          <a:off x="0" y="0"/>
                          <a:ext cx="1548765" cy="1548765"/>
                        </a:xfrm>
                        <a:prstGeom prst="ellipse">
                          <a:avLst/>
                        </a:prstGeom>
                        <a:solidFill>
                          <a:srgbClr val="FFFFFF"/>
                        </a:solidFill>
                        <a:ln w="12700">
                          <a:noFill/>
                        </a:ln>
                      </wps:spPr>
                      <wps:bodyPr anchor="ctr" anchorCtr="0" upright="1"/>
                    </wps:wsp>
                  </a:graphicData>
                </a:graphic>
              </wp:anchor>
            </w:drawing>
          </mc:Choice>
          <mc:Fallback>
            <w:pict>
              <v:oval id="椭圆 8" o:spid="_x0000_s1026" style="width:121.95pt;height:121.95pt;margin-top:232.45pt;margin-left:53.5pt;mso-height-relative:page;mso-width-relative:page;position:absolute;v-text-anchor:middle;z-index:251659264" coordsize="21600,21600" filled="t" fillcolor="white" stroked="f">
                <o:lock v:ext="edit" aspectratio="f"/>
              </v:oval>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8" name="矩形 14"/>
                <wp:cNvGraphicFramePr/>
                <a:graphic xmlns:a="http://schemas.openxmlformats.org/drawingml/2006/main">
                  <a:graphicData uri="http://schemas.microsoft.com/office/word/2010/wordprocessingShape">
                    <wps:wsp xmlns:wps="http://schemas.microsoft.com/office/word/2010/wordprocessingShape">
                      <wps:cNvSpPr/>
                      <wps:spPr>
                        <a:xfrm>
                          <a:off x="0" y="0"/>
                          <a:ext cx="2040255" cy="883920"/>
                        </a:xfrm>
                        <a:prstGeom prst="rect">
                          <a:avLst/>
                        </a:prstGeom>
                        <a:noFill/>
                        <a:ln>
                          <a:noFill/>
                        </a:ln>
                      </wps:spPr>
                      <wps:txbx>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wps:txbx>
                      <wps:bodyPr upright="1">
                        <a:spAutoFit/>
                      </wps:bodyPr>
                    </wps:wsp>
                  </a:graphicData>
                </a:graphic>
              </wp:anchor>
            </w:drawing>
          </mc:Choice>
          <mc:Fallback>
            <w:pict>
              <v:rect id="矩形 14" o:spid="_x0000_s1027" style="width:160.65pt;height:69.6pt;margin-top:256.75pt;margin-left:33.6pt;mso-height-relative:page;mso-width-relative:page;position:absolute;z-index:251669504" coordsize="21600,21600" filled="f" stroked="f">
                <o:lock v:ext="edit" aspectratio="f"/>
                <v:textbox style="mso-fit-shape-to-text:t">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7" name="椭圆 9"/>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1313815"/>
                        </a:xfrm>
                        <a:prstGeom prst="ellipse">
                          <a:avLst/>
                        </a:prstGeom>
                        <a:solidFill>
                          <a:srgbClr val="1F2959"/>
                        </a:solidFill>
                        <a:ln w="12700">
                          <a:noFill/>
                        </a:ln>
                      </wps:spPr>
                      <wps:bodyPr anchor="ctr" anchorCtr="0" upright="1"/>
                    </wps:wsp>
                  </a:graphicData>
                </a:graphic>
              </wp:anchor>
            </w:drawing>
          </mc:Choice>
          <mc:Fallback>
            <w:pict>
              <v:oval id="椭圆 9" o:spid="_x0000_s1028" style="width:103.45pt;height:103.45pt;margin-top:242.75pt;margin-left:62.2pt;mso-height-relative:page;mso-width-relative:page;position:absolute;v-text-anchor:middle;z-index:251667456" coordsize="21600,21600" filled="t" fillcolor="#1f2959" stroked="f">
                <o:lock v:ext="edit" aspectratio="f"/>
              </v:oval>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15875</wp:posOffset>
                </wp:positionH>
                <wp:positionV relativeFrom="paragraph">
                  <wp:posOffset>10435590</wp:posOffset>
                </wp:positionV>
                <wp:extent cx="7559675" cy="272415"/>
                <wp:effectExtent l="0" t="0" r="0" b="0"/>
                <wp:wrapNone/>
                <wp:docPr id="4" name="组合 13"/>
                <wp:cNvGraphicFramePr/>
                <a:graphic xmlns:a="http://schemas.openxmlformats.org/drawingml/2006/main">
                  <a:graphicData uri="http://schemas.microsoft.com/office/word/2010/wordprocessingGroup">
                    <wpg:wgp xmlns:wpg="http://schemas.microsoft.com/office/word/2010/wordprocessingGroup">
                      <wpg:cNvGrpSpPr/>
                      <wpg:grpSpPr>
                        <a:xfrm>
                          <a:off x="0" y="0"/>
                          <a:ext cx="7559675" cy="272415"/>
                          <a:chOff x="1483" y="16692"/>
                          <a:chExt cx="11905" cy="429203"/>
                        </a:xfrm>
                      </wpg:grpSpPr>
                      <wps:wsp xmlns:wps="http://schemas.microsoft.com/office/word/2010/wordprocessingShape">
                        <wps:cNvPr id="2" name="矩形 6"/>
                        <wps:cNvSpPr/>
                        <wps:spPr>
                          <a:xfrm>
                            <a:off x="1483" y="16692"/>
                            <a:ext cx="1125" cy="428"/>
                          </a:xfrm>
                          <a:prstGeom prst="rect">
                            <a:avLst/>
                          </a:prstGeom>
                          <a:solidFill>
                            <a:srgbClr val="FDBC11"/>
                          </a:solidFill>
                          <a:ln w="12700">
                            <a:noFill/>
                          </a:ln>
                        </wps:spPr>
                        <wps:bodyPr anchor="ctr" anchorCtr="0" upright="1"/>
                      </wps:wsp>
                      <wps:wsp xmlns:wps="http://schemas.microsoft.com/office/word/2010/wordprocessingShape">
                        <wps:cNvPr id="3" name="矩形 7"/>
                        <wps:cNvSpPr/>
                        <wps:spPr>
                          <a:xfrm>
                            <a:off x="2608" y="16693"/>
                            <a:ext cx="10780" cy="428"/>
                          </a:xfrm>
                          <a:prstGeom prst="rect">
                            <a:avLst/>
                          </a:prstGeom>
                          <a:solidFill>
                            <a:srgbClr val="1F2959"/>
                          </a:solidFill>
                          <a:ln w="12700">
                            <a:noFill/>
                          </a:ln>
                        </wps:spPr>
                        <wps:bodyPr anchor="ctr" anchorCtr="0" upright="1"/>
                      </wps:wsp>
                    </wpg:wgp>
                  </a:graphicData>
                </a:graphic>
              </wp:anchor>
            </w:drawing>
          </mc:Choice>
          <mc:Fallback>
            <w:pict>
              <v:group id="组合 13" o:spid="_x0000_s1029" style="width:595.25pt;height:21.45pt;margin-top:821.7pt;margin-left:1.25pt;mso-height-relative:page;mso-width-relative:page;position:absolute;z-index:251661312" coordorigin="1483,16692" coordsize="11905,429203">
                <o:lock v:ext="edit" aspectratio="f"/>
                <v:rect id="矩形 6" o:spid="_x0000_s1030" style="width:1125;height:428;left:1483;position:absolute;top:16692;v-text-anchor:middle" coordsize="21600,21600" filled="t" fillcolor="#fdbc11" stroked="f">
                  <o:lock v:ext="edit" aspectratio="f"/>
                </v:rect>
                <v:rect id="矩形 7" o:spid="_x0000_s1031" style="width:10780;height:428;left:2608;position:absolute;top:16693;v-text-anchor:middle" coordsize="21600,21600" filled="t" fillcolor="#1f2959" stroked="f">
                  <o:lock v:ext="edit" aspectratio="f"/>
                </v:rect>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5" name="矩形 11"/>
                <wp:cNvGraphicFramePr/>
                <a:graphic xmlns:a="http://schemas.openxmlformats.org/drawingml/2006/main">
                  <a:graphicData uri="http://schemas.microsoft.com/office/word/2010/wordprocessingShape">
                    <wps:wsp xmlns:wps="http://schemas.microsoft.com/office/word/2010/wordprocessingShape">
                      <wps:cNvSpPr/>
                      <wps:spPr>
                        <a:xfrm>
                          <a:off x="0" y="0"/>
                          <a:ext cx="4313555" cy="396875"/>
                        </a:xfrm>
                        <a:prstGeom prst="rect">
                          <a:avLst/>
                        </a:prstGeom>
                        <a:noFill/>
                        <a:ln>
                          <a:noFill/>
                        </a:ln>
                      </wps:spPr>
                      <wps:txbx>
                        <w:txbxContent>
                          <w:p/>
                        </w:txbxContent>
                      </wps:txbx>
                      <wps:bodyPr wrap="none" upright="1">
                        <a:spAutoFit/>
                      </wps:bodyPr>
                    </wps:wsp>
                  </a:graphicData>
                </a:graphic>
              </wp:anchor>
            </w:drawing>
          </mc:Choice>
          <mc:Fallback>
            <w:pict>
              <v:rect id="矩形 11" o:spid="_x0000_s1032" style="width:339.65pt;height:31.25pt;margin-top:286.6pt;margin-left:184.75pt;mso-height-relative:page;mso-width-relative:page;mso-wrap-style:none;position:absolute;z-index:251663360" coordsize="21600,21600" filled="f" stroked="f">
                <o:lock v:ext="edit" aspectratio="f"/>
                <v:textbox style="mso-fit-shape-to-text:t">
                  <w:txbxContent>
                    <w:p/>
                  </w:txbxContent>
                </v:textbox>
              </v:rect>
            </w:pict>
          </mc:Fallback>
        </mc:AlternateContent>
      </w:r>
    </w:p>
    <w:p>
      <w:pPr>
        <w:rPr>
          <w:rFonts w:ascii="黑体" w:eastAsia="黑体" w:hAnsi="黑体" w:cs="黑体"/>
          <w:sz w:val="56"/>
          <w:szCs w:val="72"/>
        </w:rPr>
      </w:pPr>
    </w:p>
    <w:p>
      <w:pPr>
        <w:jc w:val="left"/>
        <w:rPr>
          <w:color w:val="000000"/>
          <w:kern w:val="0"/>
          <w:sz w:val="92"/>
          <w:szCs w:val="92"/>
        </w:rPr>
      </w:pPr>
      <w:r>
        <w:rPr>
          <w:rFonts w:ascii="思源黑体 HW Bold" w:eastAsia="思源黑体 HW Bold" w:hAnsi="思源黑体 HW Bold" w:hint="eastAsia"/>
          <w:color w:val="000000"/>
          <w:kern w:val="24"/>
          <w:sz w:val="92"/>
          <w:szCs w:val="92"/>
        </w:rPr>
        <w:t xml:space="preserve">   部门决算公开文本</w:t>
      </w:r>
    </w:p>
    <w:p>
      <w:pPr>
        <w:rPr>
          <w:rFonts w:ascii="黑体" w:eastAsia="黑体" w:hAnsi="Times New Roman"/>
          <w:sz w:val="48"/>
          <w:szCs w:val="48"/>
        </w:rPr>
      </w:pPr>
      <w:r>
        <mc:AlternateContent>
          <mc:Choice Requires="wps">
            <w:drawing>
              <wp:anchor distT="0" distB="0" distL="114300" distR="114300" simplePos="0" relativeHeight="251664384" behindDoc="0" locked="0" layoutInCell="1" allowOverlap="1">
                <wp:simplePos x="0" y="0"/>
                <wp:positionH relativeFrom="column">
                  <wp:posOffset>679450</wp:posOffset>
                </wp:positionH>
                <wp:positionV relativeFrom="paragraph">
                  <wp:posOffset>6057900</wp:posOffset>
                </wp:positionV>
                <wp:extent cx="4512945" cy="739775"/>
                <wp:effectExtent l="0" t="0" r="0" b="0"/>
                <wp:wrapNone/>
                <wp:docPr id="6"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512945" cy="739775"/>
                        </a:xfrm>
                        <a:prstGeom prst="rect">
                          <a:avLst/>
                        </a:prstGeom>
                        <a:noFill/>
                        <a:ln>
                          <a:noFill/>
                        </a:ln>
                      </wps:spPr>
                      <wps:txbx>
                        <w:txbxContent>
                          <w:p>
                            <w:pPr>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二〇二〇年十一月</w:t>
                            </w:r>
                          </w:p>
                        </w:txbxContent>
                      </wps:txbx>
                      <wps:bodyPr upright="1"/>
                    </wps:wsp>
                  </a:graphicData>
                </a:graphic>
              </wp:anchor>
            </w:drawing>
          </mc:Choice>
          <mc:Fallback>
            <w:pict>
              <v:shape id="文本框 10" o:spid="_x0000_s1033" type="#_x0000_t202" style="width:355.35pt;height:58.25pt;margin-top:477pt;margin-left:53.5pt;mso-height-relative:page;mso-width-relative:page;position:absolute;z-index:251665408" coordsize="21600,21600" filled="f" stroked="f">
                <o:lock v:ext="edit" aspectratio="f"/>
                <v:textbox>
                  <w:txbxContent>
                    <w:p>
                      <w:pPr>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二〇二〇年十一月</w:t>
                      </w:r>
                    </w:p>
                  </w:txbxContent>
                </v:textbox>
              </v:shape>
            </w:pict>
          </mc:Fallback>
        </mc:AlternateContent>
      </w:r>
      <w:r>
        <w:rPr>
          <w:rFonts w:ascii="黑体" w:eastAsia="黑体" w:hAnsi="Times New Roman"/>
          <w:sz w:val="48"/>
          <w:szCs w:val="48"/>
        </w:rPr>
        <w:br w:type="page"/>
      </w:r>
    </w:p>
    <w:p>
      <w:pPr>
        <w:tabs>
          <w:tab w:val="left" w:pos="2728"/>
        </w:tabs>
        <w:rPr>
          <w:rFonts w:ascii="黑体" w:eastAsia="黑体" w:hAnsi="Times New Roman"/>
          <w:sz w:val="48"/>
          <w:szCs w:val="48"/>
        </w:rPr>
      </w:pPr>
      <w:r>
        <w:rPr>
          <w:rFonts w:ascii="黑体" w:eastAsia="黑体" w:hAnsi="Times New Roman"/>
          <w:sz w:val="48"/>
          <w:szCs w:val="48"/>
        </w:rPr>
        <w:tab/>
      </w:r>
    </w:p>
    <w:p>
      <w:pPr>
        <w:rPr>
          <w:rFonts w:ascii="黑体" w:eastAsia="黑体" w:hAnsi="黑体" w:cs="黑体"/>
          <w:b/>
          <w:bCs/>
          <w:sz w:val="72"/>
          <w:szCs w:val="96"/>
        </w:rPr>
      </w:pPr>
      <w:r>
        <w:rPr>
          <w:rFonts w:ascii="黑体" w:eastAsia="黑体" w:hAnsi="黑体" w:cs="黑体"/>
          <w:b/>
          <w:bCs/>
          <w:sz w:val="72"/>
          <w:szCs w:val="96"/>
        </w:rPr>
        <w:t>2019</w:t>
      </w:r>
      <w:r>
        <w:rPr>
          <w:rFonts w:ascii="黑体" w:eastAsia="黑体" w:hAnsi="黑体" w:cs="黑体" w:hint="eastAsia"/>
          <w:b/>
          <w:bCs/>
          <w:sz w:val="72"/>
          <w:szCs w:val="96"/>
        </w:rPr>
        <w:t>年度部门决算公开文本</w:t>
      </w:r>
    </w:p>
    <w:p>
      <w:pPr>
        <w:spacing w:line="360" w:lineRule="auto"/>
        <w:jc w:val="center"/>
        <w:rPr>
          <w:rFonts w:ascii="黑体" w:eastAsia="黑体" w:hAnsi="黑体" w:cs="黑体"/>
          <w:sz w:val="56"/>
          <w:szCs w:val="72"/>
        </w:rPr>
      </w:pPr>
    </w:p>
    <w:p>
      <w:pPr>
        <w:spacing w:line="600" w:lineRule="auto"/>
        <w:jc w:val="center"/>
        <w:rPr>
          <w:rFonts w:ascii="黑体" w:eastAsia="黑体" w:hAnsi="黑体" w:cs="黑体"/>
          <w:sz w:val="56"/>
          <w:szCs w:val="72"/>
        </w:rPr>
      </w:pPr>
    </w:p>
    <w:p>
      <w:pPr>
        <w:spacing w:line="600" w:lineRule="auto"/>
        <w:jc w:val="center"/>
        <w:rPr>
          <w:rFonts w:ascii="黑体" w:eastAsia="黑体" w:hAnsi="黑体" w:cs="黑体"/>
          <w:sz w:val="56"/>
          <w:szCs w:val="72"/>
        </w:rPr>
      </w:pPr>
    </w:p>
    <w:p>
      <w:pPr>
        <w:spacing w:line="600" w:lineRule="auto"/>
        <w:jc w:val="center"/>
        <w:rPr>
          <w:rFonts w:ascii="黑体" w:eastAsia="黑体" w:hAnsi="黑体" w:cs="黑体"/>
          <w:sz w:val="56"/>
          <w:szCs w:val="72"/>
        </w:rPr>
      </w:pPr>
    </w:p>
    <w:p>
      <w:pPr>
        <w:spacing w:line="600" w:lineRule="auto"/>
        <w:jc w:val="center"/>
        <w:rPr>
          <w:rFonts w:ascii="黑体" w:eastAsia="黑体" w:hAnsi="黑体" w:cs="黑体"/>
          <w:sz w:val="56"/>
          <w:szCs w:val="72"/>
        </w:rPr>
      </w:pPr>
    </w:p>
    <w:p>
      <w:pPr>
        <w:spacing w:line="480" w:lineRule="auto"/>
        <w:jc w:val="center"/>
        <w:rPr>
          <w:rFonts w:ascii="黑体" w:eastAsia="黑体" w:hAnsi="黑体" w:cs="黑体"/>
          <w:sz w:val="56"/>
          <w:szCs w:val="72"/>
        </w:rPr>
      </w:pPr>
    </w:p>
    <w:p>
      <w:pPr>
        <w:spacing w:line="480" w:lineRule="auto"/>
        <w:jc w:val="center"/>
        <w:rPr>
          <w:rFonts w:ascii="黑体" w:eastAsia="黑体" w:hAnsi="黑体" w:cs="黑体"/>
          <w:sz w:val="56"/>
          <w:szCs w:val="72"/>
        </w:rPr>
      </w:pPr>
    </w:p>
    <w:p>
      <w:pPr>
        <w:spacing w:line="480" w:lineRule="auto"/>
        <w:jc w:val="center"/>
        <w:rPr>
          <w:rFonts w:ascii="黑体" w:eastAsia="黑体" w:hAnsi="黑体" w:cs="黑体"/>
          <w:sz w:val="56"/>
          <w:szCs w:val="72"/>
        </w:rPr>
      </w:pPr>
    </w:p>
    <w:p>
      <w:pPr>
        <w:snapToGrid w:val="0"/>
        <w:spacing w:line="480" w:lineRule="auto"/>
        <w:jc w:val="center"/>
        <w:rPr>
          <w:rFonts w:ascii="黑体" w:eastAsia="黑体" w:hAnsi="黑体" w:cs="黑体"/>
          <w:sz w:val="56"/>
          <w:szCs w:val="72"/>
        </w:rPr>
      </w:pPr>
    </w:p>
    <w:p>
      <w:pPr>
        <w:snapToGrid w:val="0"/>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丰宁满族自治县委政法委</w:t>
      </w:r>
    </w:p>
    <w:p>
      <w:pPr>
        <w:snapToGrid w:val="0"/>
        <w:jc w:val="center"/>
        <w:rPr>
          <w:rFonts w:ascii="楷体_GB2312" w:eastAsia="楷体_GB2312" w:hAnsi="楷体_GB2312" w:cs="楷体_GB2312"/>
          <w:color w:val="000000"/>
          <w:kern w:val="0"/>
          <w:sz w:val="44"/>
          <w:szCs w:val="44"/>
        </w:rPr>
        <w:sectPr>
          <w:headerReference w:type="default" r:id="rId5"/>
          <w:headerReference w:type="first" r:id="rId6"/>
          <w:type w:val="continuous"/>
          <w:pgSz w:w="11906" w:h="16838"/>
          <w:pgMar w:top="2041" w:right="1531" w:bottom="2041" w:left="1531" w:header="851" w:footer="992" w:gutter="0"/>
          <w:cols w:num="1" w:space="0"/>
          <w:titlePg/>
          <w:docGrid w:type="lines" w:linePitch="312" w:charSpace="0"/>
        </w:sectPr>
      </w:pPr>
      <w:r>
        <w:rPr>
          <w:rFonts w:ascii="楷体_GB2312" w:eastAsia="楷体_GB2312" w:hAnsi="楷体_GB2312" w:cs="楷体_GB2312" w:hint="eastAsia"/>
          <w:color w:val="000000"/>
          <w:kern w:val="0"/>
          <w:sz w:val="44"/>
          <w:szCs w:val="44"/>
        </w:rPr>
        <w:t>二〇二〇年十一月</w:t>
      </w:r>
    </w:p>
    <w:p>
      <w:pPr>
        <w:rPr>
          <w:rFonts w:ascii="黑体" w:eastAsia="黑体" w:hAnsi="Times New Roman"/>
          <w:sz w:val="48"/>
          <w:szCs w:val="48"/>
        </w:rPr>
      </w:pPr>
    </w:p>
    <w:p>
      <w:pPr>
        <w:tabs>
          <w:tab w:val="left" w:pos="2728"/>
        </w:tabs>
        <w:jc w:val="center"/>
        <w:rPr>
          <w:rFonts w:ascii="黑体" w:eastAsia="黑体" w:hAnsi="Times New Roman"/>
          <w:sz w:val="48"/>
          <w:szCs w:val="48"/>
        </w:rPr>
      </w:pPr>
    </w:p>
    <w:p>
      <w:pPr>
        <w:tabs>
          <w:tab w:val="left" w:pos="2728"/>
        </w:tabs>
        <w:jc w:val="center"/>
        <w:rPr>
          <w:rFonts w:ascii="黑体" w:eastAsia="黑体" w:hAnsi="Times New Roman"/>
          <w:sz w:val="48"/>
          <w:szCs w:val="48"/>
        </w:rPr>
      </w:pPr>
      <w:r>
        <w:rPr>
          <w:rFonts w:ascii="黑体" w:eastAsia="黑体" w:hAnsi="Times New Roman" w:hint="eastAsia"/>
          <w:sz w:val="48"/>
          <w:szCs w:val="48"/>
        </w:rPr>
        <w:t>目录</w:t>
      </w:r>
    </w:p>
    <w:p>
      <w:pPr>
        <w:widowControl/>
        <w:spacing w:after="160" w:line="580" w:lineRule="exact"/>
        <w:ind w:firstLine="640" w:firstLineChars="200"/>
        <w:rPr>
          <w:rFonts w:ascii="Times New Roman" w:eastAsia="黑体" w:hAnsi="Times New Roman"/>
          <w:sz w:val="32"/>
          <w:szCs w:val="32"/>
        </w:rPr>
      </w:pPr>
    </w:p>
    <w:p>
      <w:pPr>
        <w:widowControl/>
        <w:spacing w:after="160" w:line="580" w:lineRule="exact"/>
        <w:ind w:firstLine="640" w:firstLineChars="200"/>
        <w:rPr>
          <w:rFonts w:ascii="Times New Roman" w:eastAsia="仿宋_GB2312" w:hAnsi="Times New Roman"/>
          <w:sz w:val="24"/>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Pr>
          <w:rFonts w:ascii="Times New Roman" w:eastAsia="黑体" w:hAnsi="Times New Roman" w:hint="eastAsia"/>
          <w:sz w:val="32"/>
          <w:szCs w:val="32"/>
        </w:rPr>
        <w:t>部门概况</w:t>
      </w:r>
    </w:p>
    <w:p>
      <w:pPr>
        <w:widowControl/>
        <w:spacing w:after="160" w:line="580" w:lineRule="exact"/>
        <w:ind w:firstLine="1274" w:firstLineChars="398"/>
        <w:rPr>
          <w:rFonts w:ascii="Times New Roman" w:eastAsia="仿宋_GB2312" w:hAnsi="Times New Roman"/>
          <w:sz w:val="32"/>
          <w:szCs w:val="32"/>
        </w:rPr>
      </w:pPr>
      <w:r>
        <w:rPr>
          <w:rFonts w:ascii="Times New Roman" w:eastAsia="仿宋_GB2312" w:hAnsi="Times New Roman" w:hint="eastAsia"/>
          <w:sz w:val="32"/>
          <w:szCs w:val="32"/>
        </w:rPr>
        <w:t>一、部门职责</w:t>
      </w:r>
    </w:p>
    <w:p>
      <w:pPr>
        <w:widowControl/>
        <w:spacing w:after="160" w:line="580" w:lineRule="exact"/>
        <w:ind w:firstLine="1274" w:firstLineChars="398"/>
        <w:rPr>
          <w:rFonts w:ascii="Times New Roman" w:eastAsia="仿宋_GB2312" w:hAnsi="Times New Roman"/>
          <w:sz w:val="32"/>
          <w:szCs w:val="32"/>
        </w:rPr>
      </w:pPr>
      <w:r>
        <w:rPr>
          <w:rFonts w:ascii="Times New Roman" w:eastAsia="仿宋_GB2312" w:hAnsi="Times New Roman" w:hint="eastAsia"/>
          <w:sz w:val="32"/>
          <w:szCs w:val="32"/>
        </w:rPr>
        <w:t>二、机构设置</w:t>
      </w:r>
    </w:p>
    <w:p>
      <w:pPr>
        <w:widowControl/>
        <w:spacing w:after="160" w:line="580" w:lineRule="exact"/>
        <w:ind w:firstLine="640" w:firstLineChars="20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pPr>
        <w:widowControl/>
        <w:spacing w:after="160" w:line="580" w:lineRule="exact"/>
        <w:ind w:left="640" w:firstLine="640" w:firstLineChars="20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pPr>
        <w:widowControl/>
        <w:spacing w:after="160" w:line="580" w:lineRule="exact"/>
        <w:ind w:firstLine="640" w:firstLineChars="200"/>
        <w:rPr>
          <w:rFonts w:ascii="Times New Roman" w:eastAsia="黑体" w:hAnsi="Times New Roman"/>
          <w:sz w:val="32"/>
          <w:szCs w:val="32"/>
        </w:rPr>
      </w:pPr>
      <w:r>
        <w:rPr>
          <w:rFonts w:ascii="Times New Roman" w:eastAsia="黑体" w:hAnsi="Times New Roman" w:hint="eastAsia"/>
          <w:sz w:val="32"/>
          <w:szCs w:val="32"/>
        </w:rPr>
        <w:t>第三部分名词解释</w:t>
      </w:r>
    </w:p>
    <w:p>
      <w:pPr>
        <w:widowControl/>
        <w:spacing w:after="160" w:line="580" w:lineRule="exact"/>
        <w:ind w:firstLine="640" w:firstLineChars="20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2019</w:t>
      </w:r>
      <w:r>
        <w:rPr>
          <w:rFonts w:ascii="Times New Roman" w:eastAsia="黑体" w:hAnsi="Times New Roman" w:hint="eastAsia"/>
          <w:sz w:val="32"/>
          <w:szCs w:val="32"/>
        </w:rPr>
        <w:t>年度部门决算报表</w:t>
      </w:r>
    </w:p>
    <w:p>
      <w:pPr>
        <w:widowControl/>
        <w:spacing w:after="160" w:line="580" w:lineRule="exact"/>
        <w:ind w:firstLine="640" w:firstLineChars="200"/>
        <w:rPr>
          <w:rFonts w:ascii="Times New Roman" w:eastAsia="黑体" w:hAnsi="Times New Roman"/>
          <w:sz w:val="32"/>
          <w:szCs w:val="32"/>
        </w:rPr>
      </w:pPr>
    </w:p>
    <w:p>
      <w:pPr>
        <w:widowControl/>
        <w:spacing w:after="160" w:line="580" w:lineRule="exact"/>
        <w:ind w:firstLine="640" w:firstLineChars="200"/>
        <w:rPr>
          <w:rFonts w:ascii="Times New Roman" w:eastAsia="黑体" w:hAnsi="Times New Roman"/>
          <w:sz w:val="32"/>
          <w:szCs w:val="32"/>
        </w:rPr>
        <w:sectPr>
          <w:headerReference w:type="default" r:id="rId7"/>
          <w:footerReference w:type="default" r:id="rId8"/>
          <w:headerReference w:type="first" r:id="rId9"/>
          <w:footerReference w:type="first" r:id="rId10"/>
          <w:type w:val="continuous"/>
          <w:pgSz w:w="11906" w:h="16838"/>
          <w:pgMar w:top="2041" w:right="1531" w:bottom="2041" w:left="1531" w:header="851" w:footer="992" w:gutter="0"/>
          <w:cols w:num="1" w:space="0"/>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9" name="文本框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3355" cy="3341370"/>
                        </a:xfrm>
                        <a:prstGeom prst="rect">
                          <a:avLst/>
                        </a:prstGeom>
                        <a:pattFill prst="pct5">
                          <a:fgClr>
                            <a:srgbClr val="FFD966"/>
                          </a:fgClr>
                          <a:bgClr>
                            <a:srgbClr val="FFFFFF"/>
                          </a:bgClr>
                        </a:pattFill>
                        <a:ln w="12700">
                          <a:solidFill>
                            <a:srgbClr val="FFD966"/>
                          </a:solidFill>
                          <a:round/>
                          <a:headEnd/>
                          <a:tailEnd/>
                        </a:ln>
                      </wps:spPr>
                      <wps:txbx>
                        <w:txbxContent>
                          <w:p>
                            <w:pPr>
                              <w:widowControl/>
                              <w:jc w:val="center"/>
                              <w:rPr>
                                <w:rFonts w:ascii="黑体" w:eastAsia="黑体" w:hAnsi="黑体" w:cs="黑体"/>
                                <w:color w:val="000000"/>
                                <w:sz w:val="96"/>
                                <w:szCs w:val="96"/>
                              </w:rPr>
                            </w:pPr>
                            <w:r>
                              <w:rPr>
                                <w:rFonts w:ascii="黑体" w:eastAsia="黑体" w:hAnsi="黑体" w:cs="黑体" w:hint="eastAsia"/>
                                <w:color w:val="000000"/>
                                <w:sz w:val="96"/>
                                <w:szCs w:val="96"/>
                              </w:rPr>
                              <w:t>第一部分</w:t>
                            </w:r>
                            <w:r>
                              <w:rPr>
                                <w:rFonts w:ascii="黑体" w:eastAsia="黑体" w:hAnsi="黑体" w:cs="黑体"/>
                                <w:color w:val="000000"/>
                                <w:sz w:val="96"/>
                                <w:szCs w:val="96"/>
                              </w:rPr>
                              <w:t xml:space="preserve">  </w:t>
                            </w:r>
                            <w:r>
                              <w:rPr>
                                <w:rFonts w:ascii="黑体" w:eastAsia="黑体" w:hAnsi="黑体" w:cs="黑体" w:hint="eastAsia"/>
                                <w:color w:val="000000"/>
                                <w:sz w:val="96"/>
                                <w:szCs w:val="96"/>
                              </w:rPr>
                              <w:t>部门概况</w:t>
                            </w:r>
                          </w:p>
                        </w:txbxContent>
                      </wps:txbx>
                      <wps:bodyPr anchor="ctr" anchorCtr="0" upright="1"/>
                    </wps:wsp>
                  </a:graphicData>
                </a:graphic>
              </wp:anchor>
            </w:drawing>
          </mc:Choice>
          <mc:Fallback>
            <w:pict>
              <v:shape id="文本框 29" o:spid="_x0000_s1034" type="#_x0000_t202" style="width:613.65pt;height:263.1pt;margin-top:80.7pt;margin-left:-85.7pt;mso-height-relative:page;mso-width-relative:page;position:absolute;v-text-anchor:middle;z-index:251671552" coordsize="21600,21600" filled="t" fillcolor="#ffd966" stroked="t" strokecolor="#ffd966">
                <v:fill r:id="rId11" o:title="5%" color2="white" type="pattern"/>
                <v:stroke joinstyle="round"/>
                <o:lock v:ext="edit" aspectratio="f"/>
                <v:textbox>
                  <w:txbxContent>
                    <w:p>
                      <w:pPr>
                        <w:widowControl/>
                        <w:jc w:val="center"/>
                        <w:rPr>
                          <w:rFonts w:ascii="黑体" w:eastAsia="黑体" w:hAnsi="黑体" w:cs="黑体"/>
                          <w:color w:val="000000"/>
                          <w:sz w:val="96"/>
                          <w:szCs w:val="96"/>
                        </w:rPr>
                      </w:pPr>
                      <w:r>
                        <w:rPr>
                          <w:rFonts w:ascii="黑体" w:eastAsia="黑体" w:hAnsi="黑体" w:cs="黑体" w:hint="eastAsia"/>
                          <w:color w:val="000000"/>
                          <w:sz w:val="96"/>
                          <w:szCs w:val="96"/>
                        </w:rPr>
                        <w:t>第一部分</w:t>
                      </w:r>
                      <w:r>
                        <w:rPr>
                          <w:rFonts w:ascii="黑体" w:eastAsia="黑体" w:hAnsi="黑体" w:cs="黑体"/>
                          <w:color w:val="000000"/>
                          <w:sz w:val="96"/>
                          <w:szCs w:val="96"/>
                        </w:rPr>
                        <w:t xml:space="preserve">  </w:t>
                      </w:r>
                      <w:r>
                        <w:rPr>
                          <w:rFonts w:ascii="黑体" w:eastAsia="黑体" w:hAnsi="黑体" w:cs="黑体" w:hint="eastAsia"/>
                          <w:color w:val="000000"/>
                          <w:sz w:val="96"/>
                          <w:szCs w:val="96"/>
                        </w:rPr>
                        <w:t>部门概况</w:t>
                      </w:r>
                    </w:p>
                  </w:txbxContent>
                </v:textbox>
              </v:shape>
            </w:pict>
          </mc:Fallback>
        </mc:AlternateContent>
      </w:r>
      <w:r>
        <w:br w:type="page"/>
      </w:r>
    </w:p>
    <w:p>
      <w:pPr>
        <w:pStyle w:val="Heading1"/>
        <w:spacing w:before="0" w:after="0" w:line="580" w:lineRule="exact"/>
        <w:ind w:firstLine="640" w:firstLineChars="20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ind w:firstLine="640"/>
        <w:rPr>
          <w:rFonts w:ascii="仿宋" w:eastAsia="仿宋" w:hAnsi="仿宋"/>
          <w:sz w:val="32"/>
          <w:szCs w:val="32"/>
        </w:rPr>
      </w:pPr>
      <w:r>
        <w:rPr>
          <w:rFonts w:ascii="仿宋" w:eastAsia="仿宋" w:hAnsi="仿宋" w:hint="eastAsia"/>
          <w:sz w:val="32"/>
          <w:szCs w:val="32"/>
        </w:rPr>
        <w:t>（1）根据党中央的路线、方针、政策和县委的部署，统一全县政法各部门的思想和行动。</w:t>
      </w:r>
    </w:p>
    <w:p>
      <w:pPr>
        <w:ind w:firstLine="640"/>
        <w:rPr>
          <w:rFonts w:ascii="仿宋" w:eastAsia="仿宋" w:hAnsi="仿宋"/>
          <w:sz w:val="32"/>
          <w:szCs w:val="32"/>
        </w:rPr>
      </w:pPr>
      <w:r>
        <w:rPr>
          <w:rFonts w:ascii="仿宋" w:eastAsia="仿宋" w:hAnsi="仿宋" w:hint="eastAsia"/>
          <w:sz w:val="32"/>
          <w:szCs w:val="32"/>
        </w:rPr>
        <w:t>（2）研究制订全县政法工作、维护稳定工作和社会治安综合治理工作的具体政策措施，及时向县委提出决策建议，对一定时期内的政法工作、维护稳定工作和社会治安综合治理工作做出全局性部署，并督促贯彻落实。</w:t>
      </w:r>
    </w:p>
    <w:p>
      <w:pPr>
        <w:ind w:firstLine="640"/>
        <w:rPr>
          <w:rFonts w:ascii="仿宋" w:eastAsia="仿宋" w:hAnsi="仿宋"/>
          <w:sz w:val="32"/>
          <w:szCs w:val="32"/>
        </w:rPr>
      </w:pPr>
      <w:r>
        <w:rPr>
          <w:rFonts w:ascii="仿宋" w:eastAsia="仿宋" w:hAnsi="仿宋" w:hint="eastAsia"/>
          <w:sz w:val="32"/>
          <w:szCs w:val="32"/>
        </w:rPr>
        <w:t>（3）研究制订加强全县政法队伍建设和领导班子建设的意见及措施，按照县委规定的干部管理权限，协助党委及其组织部门管理政法部门的领导班子和干部队伍。</w:t>
      </w:r>
    </w:p>
    <w:p>
      <w:pPr>
        <w:ind w:firstLine="640"/>
        <w:rPr>
          <w:rFonts w:ascii="仿宋" w:eastAsia="仿宋" w:hAnsi="仿宋"/>
          <w:sz w:val="32"/>
          <w:szCs w:val="32"/>
        </w:rPr>
      </w:pPr>
      <w:r>
        <w:rPr>
          <w:rFonts w:ascii="仿宋" w:eastAsia="仿宋" w:hAnsi="仿宋" w:hint="eastAsia"/>
          <w:sz w:val="32"/>
          <w:szCs w:val="32"/>
        </w:rPr>
        <w:t>（4）大力支持和严格监督政法各部门依法行使职权；指导和协调政法各部门各负其责，密切配合，督促推动大案要案的查处工作，研究协调有争议的重大疑难案件。</w:t>
      </w:r>
    </w:p>
    <w:p>
      <w:pPr>
        <w:ind w:firstLine="640"/>
        <w:rPr>
          <w:rFonts w:ascii="仿宋" w:eastAsia="仿宋" w:hAnsi="仿宋"/>
          <w:sz w:val="32"/>
          <w:szCs w:val="32"/>
        </w:rPr>
      </w:pPr>
      <w:r>
        <w:rPr>
          <w:rFonts w:ascii="仿宋" w:eastAsia="仿宋" w:hAnsi="仿宋" w:hint="eastAsia"/>
          <w:sz w:val="32"/>
          <w:szCs w:val="32"/>
        </w:rPr>
        <w:t>（5）监督、检查政法部门执行法律法规和党的方针政策的情况，结合实际，研究推动严肃执法、落实党的方针政策的意见和措施。</w:t>
      </w:r>
    </w:p>
    <w:p>
      <w:pPr>
        <w:ind w:firstLine="640"/>
        <w:rPr>
          <w:rFonts w:ascii="仿宋" w:eastAsia="仿宋" w:hAnsi="仿宋"/>
          <w:sz w:val="32"/>
          <w:szCs w:val="32"/>
        </w:rPr>
      </w:pPr>
      <w:r>
        <w:rPr>
          <w:rFonts w:ascii="仿宋" w:eastAsia="仿宋" w:hAnsi="仿宋" w:hint="eastAsia"/>
          <w:sz w:val="32"/>
          <w:szCs w:val="32"/>
        </w:rPr>
        <w:t>（6）组织、协调和指导全县维护社会稳定工作和制止非法宗教活动工作。</w:t>
      </w:r>
    </w:p>
    <w:p>
      <w:pPr>
        <w:ind w:firstLine="640"/>
        <w:rPr>
          <w:rFonts w:ascii="仿宋" w:eastAsia="仿宋" w:hAnsi="仿宋"/>
          <w:sz w:val="32"/>
          <w:szCs w:val="32"/>
        </w:rPr>
      </w:pPr>
      <w:r>
        <w:rPr>
          <w:rFonts w:ascii="仿宋" w:eastAsia="仿宋" w:hAnsi="仿宋" w:hint="eastAsia"/>
          <w:sz w:val="32"/>
          <w:szCs w:val="32"/>
        </w:rPr>
        <w:t>（7）组织、协调、指导、检查全县社会治安综合治理工作，推动各项措施的落实。</w:t>
      </w:r>
    </w:p>
    <w:p>
      <w:pPr>
        <w:ind w:firstLine="640"/>
        <w:rPr>
          <w:rFonts w:ascii="仿宋" w:eastAsia="仿宋" w:hAnsi="仿宋"/>
          <w:sz w:val="32"/>
          <w:szCs w:val="32"/>
        </w:rPr>
      </w:pPr>
      <w:r>
        <w:rPr>
          <w:rFonts w:ascii="仿宋" w:eastAsia="仿宋" w:hAnsi="仿宋" w:hint="eastAsia"/>
          <w:sz w:val="32"/>
          <w:szCs w:val="32"/>
        </w:rPr>
        <w:t>（8）组织推动政法工作重大政策法律问题的调查研究，指导政法工作改革。</w:t>
      </w:r>
    </w:p>
    <w:p>
      <w:pPr>
        <w:ind w:firstLine="640"/>
        <w:rPr>
          <w:rFonts w:ascii="仿宋" w:eastAsia="仿宋" w:hAnsi="仿宋"/>
          <w:sz w:val="32"/>
          <w:szCs w:val="32"/>
        </w:rPr>
      </w:pPr>
      <w:r>
        <w:rPr>
          <w:rFonts w:ascii="仿宋" w:eastAsia="仿宋" w:hAnsi="仿宋" w:hint="eastAsia"/>
          <w:sz w:val="32"/>
          <w:szCs w:val="32"/>
        </w:rPr>
        <w:t>（9）指导乡镇政法委员会和社会治安综合治理委员会的工作。</w:t>
      </w:r>
    </w:p>
    <w:p>
      <w:pPr>
        <w:ind w:firstLine="640"/>
        <w:rPr>
          <w:rFonts w:ascii="仿宋" w:eastAsia="仿宋" w:hAnsi="仿宋"/>
          <w:sz w:val="32"/>
          <w:szCs w:val="32"/>
        </w:rPr>
      </w:pPr>
      <w:r>
        <w:rPr>
          <w:rFonts w:ascii="仿宋" w:eastAsia="仿宋" w:hAnsi="仿宋" w:hint="eastAsia"/>
          <w:sz w:val="32"/>
          <w:szCs w:val="32"/>
        </w:rPr>
        <w:t>（10）办理县委及上级有关部门交办的其它事项。</w:t>
      </w:r>
    </w:p>
    <w:p>
      <w:pPr>
        <w:keepNext/>
        <w:keepLines/>
        <w:spacing w:line="580" w:lineRule="exact"/>
        <w:ind w:firstLine="640" w:firstLineChars="20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pPr>
        <w:spacing w:line="580" w:lineRule="exact"/>
        <w:ind w:firstLine="640" w:firstLineChars="20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kern w:val="0"/>
          <w:sz w:val="32"/>
          <w:szCs w:val="32"/>
        </w:rPr>
        <w:t xml:space="preserve"> </w:t>
      </w:r>
      <w:r>
        <w:rPr>
          <w:rFonts w:ascii="仿宋_GB2312" w:eastAsia="仿宋_GB2312" w:hAnsi="Calibri" w:cs="ArialUnicodeMS" w:hint="eastAsia"/>
          <w:kern w:val="0"/>
          <w:sz w:val="32"/>
          <w:szCs w:val="32"/>
        </w:rPr>
        <w:t>1个，具体情况如下：</w:t>
      </w:r>
    </w:p>
    <w:tbl>
      <w:tblPr>
        <w:tblStyle w:val="TableNormal"/>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5"/>
        <w:gridCol w:w="3485"/>
        <w:gridCol w:w="2445"/>
        <w:gridCol w:w="2665"/>
      </w:tblGrid>
      <w:tr>
        <w:tblPrEx>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11"/>
          <w:jc w:val="center"/>
        </w:trPr>
        <w:tc>
          <w:tcPr>
            <w:tcW w:w="985" w:type="dxa"/>
            <w:vAlign w:val="center"/>
          </w:tcPr>
          <w:p>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tblPrEx>
          <w:tblW w:w="9580" w:type="dxa"/>
          <w:jc w:val="center"/>
          <w:tblLayout w:type="fixed"/>
          <w:tblCellMar>
            <w:top w:w="0" w:type="dxa"/>
            <w:left w:w="108" w:type="dxa"/>
            <w:bottom w:w="0" w:type="dxa"/>
            <w:right w:w="108" w:type="dxa"/>
          </w:tblCellMar>
        </w:tblPrEx>
        <w:trPr>
          <w:trHeight w:val="596"/>
          <w:jc w:val="center"/>
        </w:trPr>
        <w:tc>
          <w:tcPr>
            <w:tcW w:w="985" w:type="dxa"/>
          </w:tcPr>
          <w:p>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1</w:t>
            </w:r>
          </w:p>
        </w:tc>
        <w:tc>
          <w:tcPr>
            <w:tcW w:w="3485" w:type="dxa"/>
          </w:tcPr>
          <w:p>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丰宁满族自治县委政法委</w:t>
            </w:r>
            <w:r>
              <w:rPr>
                <w:rFonts w:ascii="仿宋_GB2312" w:eastAsia="仿宋_GB2312" w:hAnsi="Calibri" w:cs="ArialUnicodeMS"/>
                <w:kern w:val="0"/>
                <w:sz w:val="28"/>
                <w:szCs w:val="28"/>
              </w:rPr>
              <w:t>(</w:t>
            </w:r>
            <w:r>
              <w:rPr>
                <w:rFonts w:ascii="仿宋_GB2312" w:eastAsia="仿宋_GB2312" w:hAnsi="Calibri" w:cs="ArialUnicodeMS" w:hint="eastAsia"/>
                <w:kern w:val="0"/>
                <w:sz w:val="28"/>
                <w:szCs w:val="28"/>
              </w:rPr>
              <w:t>本级</w:t>
            </w:r>
            <w:r>
              <w:rPr>
                <w:rFonts w:ascii="仿宋_GB2312" w:eastAsia="仿宋_GB2312" w:hAnsi="Calibri" w:cs="ArialUnicodeMS"/>
                <w:kern w:val="0"/>
                <w:sz w:val="28"/>
                <w:szCs w:val="28"/>
              </w:rPr>
              <w:t>)</w:t>
            </w:r>
          </w:p>
        </w:tc>
        <w:tc>
          <w:tcPr>
            <w:tcW w:w="2445" w:type="dxa"/>
          </w:tcPr>
          <w:p>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行政单位</w:t>
            </w:r>
          </w:p>
        </w:tc>
        <w:tc>
          <w:tcPr>
            <w:tcW w:w="2665" w:type="dxa"/>
          </w:tcPr>
          <w:p>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tblPrEx>
          <w:tblW w:w="9580" w:type="dxa"/>
          <w:jc w:val="center"/>
          <w:tblLayout w:type="fixed"/>
          <w:tblCellMar>
            <w:top w:w="0" w:type="dxa"/>
            <w:left w:w="108" w:type="dxa"/>
            <w:bottom w:w="0" w:type="dxa"/>
            <w:right w:w="108" w:type="dxa"/>
          </w:tblCellMar>
        </w:tblPrEx>
        <w:trPr>
          <w:trHeight w:val="596"/>
          <w:jc w:val="center"/>
        </w:trPr>
        <w:tc>
          <w:tcPr>
            <w:tcW w:w="985" w:type="dxa"/>
          </w:tcPr>
          <w:p>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2</w:t>
            </w:r>
          </w:p>
        </w:tc>
        <w:tc>
          <w:tcPr>
            <w:tcW w:w="3485" w:type="dxa"/>
          </w:tcPr>
          <w:p>
            <w:pPr>
              <w:spacing w:line="560" w:lineRule="exact"/>
              <w:rPr>
                <w:rFonts w:ascii="仿宋_GB2312" w:eastAsia="仿宋_GB2312" w:hAnsi="Calibri" w:cs="ArialUnicodeMS"/>
                <w:kern w:val="0"/>
                <w:sz w:val="28"/>
                <w:szCs w:val="28"/>
              </w:rPr>
            </w:pPr>
          </w:p>
        </w:tc>
        <w:tc>
          <w:tcPr>
            <w:tcW w:w="2445" w:type="dxa"/>
          </w:tcPr>
          <w:p>
            <w:pPr>
              <w:spacing w:line="560" w:lineRule="exact"/>
              <w:jc w:val="center"/>
              <w:rPr>
                <w:rFonts w:ascii="仿宋_GB2312" w:eastAsia="仿宋_GB2312" w:hAnsi="Calibri" w:cs="ArialUnicodeMS"/>
                <w:kern w:val="0"/>
                <w:sz w:val="28"/>
                <w:szCs w:val="28"/>
              </w:rPr>
            </w:pPr>
          </w:p>
        </w:tc>
        <w:tc>
          <w:tcPr>
            <w:tcW w:w="2665" w:type="dxa"/>
          </w:tcPr>
          <w:p>
            <w:pPr>
              <w:spacing w:line="560" w:lineRule="exact"/>
              <w:jc w:val="center"/>
              <w:rPr>
                <w:rFonts w:ascii="仿宋_GB2312" w:eastAsia="仿宋_GB2312" w:hAnsi="Calibri" w:cs="ArialUnicodeMS"/>
                <w:kern w:val="0"/>
                <w:sz w:val="28"/>
                <w:szCs w:val="28"/>
              </w:rPr>
            </w:pPr>
          </w:p>
        </w:tc>
      </w:tr>
      <w:tr>
        <w:tblPrEx>
          <w:tblW w:w="9580" w:type="dxa"/>
          <w:jc w:val="center"/>
          <w:tblLayout w:type="fixed"/>
          <w:tblCellMar>
            <w:top w:w="0" w:type="dxa"/>
            <w:left w:w="108" w:type="dxa"/>
            <w:bottom w:w="0" w:type="dxa"/>
            <w:right w:w="108" w:type="dxa"/>
          </w:tblCellMar>
        </w:tblPrEx>
        <w:trPr>
          <w:trHeight w:val="596"/>
          <w:jc w:val="center"/>
        </w:trPr>
        <w:tc>
          <w:tcPr>
            <w:tcW w:w="985" w:type="dxa"/>
          </w:tcPr>
          <w:p>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3</w:t>
            </w:r>
          </w:p>
        </w:tc>
        <w:tc>
          <w:tcPr>
            <w:tcW w:w="3485" w:type="dxa"/>
          </w:tcPr>
          <w:p>
            <w:pPr>
              <w:spacing w:line="560" w:lineRule="exact"/>
              <w:rPr>
                <w:rFonts w:ascii="仿宋_GB2312" w:eastAsia="仿宋_GB2312" w:hAnsi="Calibri" w:cs="ArialUnicodeMS"/>
                <w:kern w:val="0"/>
                <w:sz w:val="28"/>
                <w:szCs w:val="28"/>
              </w:rPr>
            </w:pPr>
          </w:p>
        </w:tc>
        <w:tc>
          <w:tcPr>
            <w:tcW w:w="2445" w:type="dxa"/>
          </w:tcPr>
          <w:p>
            <w:pPr>
              <w:spacing w:line="560" w:lineRule="exact"/>
              <w:jc w:val="center"/>
              <w:rPr>
                <w:rFonts w:ascii="仿宋_GB2312" w:eastAsia="仿宋_GB2312" w:hAnsi="Calibri" w:cs="ArialUnicodeMS"/>
                <w:kern w:val="0"/>
                <w:sz w:val="28"/>
                <w:szCs w:val="28"/>
              </w:rPr>
            </w:pPr>
          </w:p>
        </w:tc>
        <w:tc>
          <w:tcPr>
            <w:tcW w:w="2665" w:type="dxa"/>
          </w:tcPr>
          <w:p>
            <w:pPr>
              <w:spacing w:line="560" w:lineRule="exact"/>
              <w:jc w:val="center"/>
              <w:rPr>
                <w:rFonts w:ascii="仿宋_GB2312" w:eastAsia="仿宋_GB2312" w:hAnsi="Calibri" w:cs="ArialUnicodeMS"/>
                <w:kern w:val="0"/>
                <w:sz w:val="28"/>
                <w:szCs w:val="28"/>
              </w:rPr>
            </w:pPr>
          </w:p>
        </w:tc>
      </w:tr>
      <w:tr>
        <w:tblPrEx>
          <w:tblW w:w="9580" w:type="dxa"/>
          <w:jc w:val="center"/>
          <w:tblLayout w:type="fixed"/>
          <w:tblCellMar>
            <w:top w:w="0" w:type="dxa"/>
            <w:left w:w="108" w:type="dxa"/>
            <w:bottom w:w="0" w:type="dxa"/>
            <w:right w:w="108" w:type="dxa"/>
          </w:tblCellMar>
        </w:tblPrEx>
        <w:trPr>
          <w:trHeight w:val="606"/>
          <w:jc w:val="center"/>
        </w:trPr>
        <w:tc>
          <w:tcPr>
            <w:tcW w:w="985" w:type="dxa"/>
          </w:tcPr>
          <w:p>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3485" w:type="dxa"/>
          </w:tcPr>
          <w:p>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2445" w:type="dxa"/>
          </w:tcPr>
          <w:p>
            <w:pPr>
              <w:spacing w:line="560" w:lineRule="exact"/>
              <w:jc w:val="center"/>
              <w:rPr>
                <w:rFonts w:ascii="仿宋_GB2312" w:eastAsia="仿宋_GB2312" w:hAnsi="Calibri" w:cs="ArialUnicodeMS"/>
                <w:kern w:val="0"/>
                <w:sz w:val="28"/>
                <w:szCs w:val="28"/>
              </w:rPr>
            </w:pPr>
          </w:p>
        </w:tc>
        <w:tc>
          <w:tcPr>
            <w:tcW w:w="2665" w:type="dxa"/>
          </w:tcPr>
          <w:p>
            <w:pPr>
              <w:spacing w:line="560" w:lineRule="exact"/>
              <w:jc w:val="center"/>
              <w:rPr>
                <w:rFonts w:ascii="仿宋_GB2312" w:eastAsia="仿宋_GB2312" w:hAnsi="Calibri" w:cs="ArialUnicodeMS"/>
                <w:kern w:val="0"/>
                <w:sz w:val="28"/>
                <w:szCs w:val="28"/>
              </w:rPr>
            </w:pPr>
          </w:p>
        </w:tc>
      </w:tr>
      <w:tr>
        <w:tblPrEx>
          <w:tblW w:w="9580" w:type="dxa"/>
          <w:jc w:val="center"/>
          <w:tblLayout w:type="fixed"/>
          <w:tblCellMar>
            <w:top w:w="0" w:type="dxa"/>
            <w:left w:w="108" w:type="dxa"/>
            <w:bottom w:w="0" w:type="dxa"/>
            <w:right w:w="108" w:type="dxa"/>
          </w:tblCellMar>
        </w:tblPrEx>
        <w:trPr>
          <w:trHeight w:val="606"/>
          <w:jc w:val="center"/>
        </w:trPr>
        <w:tc>
          <w:tcPr>
            <w:tcW w:w="9580" w:type="dxa"/>
            <w:gridSpan w:val="4"/>
            <w:tcBorders>
              <w:left w:val="nil"/>
              <w:bottom w:val="nil"/>
              <w:right w:val="nil"/>
            </w:tcBorders>
          </w:tcPr>
          <w:p>
            <w:pPr>
              <w:spacing w:line="560" w:lineRule="exact"/>
              <w:ind w:firstLine="560" w:firstLineChars="200"/>
              <w:jc w:val="left"/>
              <w:rPr>
                <w:rFonts w:ascii="仿宋_GB2312" w:eastAsia="仿宋_GB2312" w:hAnsi="Calibri" w:cs="ArialUnicodeMS"/>
                <w:kern w:val="0"/>
                <w:sz w:val="28"/>
                <w:szCs w:val="28"/>
              </w:rPr>
            </w:pPr>
          </w:p>
        </w:tc>
      </w:tr>
    </w:tbl>
    <w:p>
      <w:pPr>
        <w:jc w:val="center"/>
        <w:outlineLvl w:val="0"/>
        <w:rPr>
          <w:rFonts w:ascii="Times New Roman" w:eastAsia="方正小标宋_GBK" w:hAnsi="Times New Roman"/>
          <w:sz w:val="32"/>
          <w:szCs w:val="32"/>
        </w:rPr>
      </w:pPr>
      <w:r>
        <w:rPr>
          <w:rFonts w:ascii="方正小标宋_GBK" w:hAnsi="方正小标宋_GBK"/>
          <w:sz w:val="32"/>
          <w:szCs w:val="32"/>
        </w:rPr>
        <w:t>部门内设机构设置情况</w:t>
      </w:r>
    </w:p>
    <w:tbl>
      <w:tblPr>
        <w:tblStyle w:val="TableNormal"/>
        <w:tblW w:w="84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443"/>
        <w:gridCol w:w="1134"/>
        <w:gridCol w:w="2902"/>
      </w:tblGrid>
      <w:tr>
        <w:tblPrEx>
          <w:tblW w:w="84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00"/>
          <w:jc w:val="center"/>
        </w:trPr>
        <w:tc>
          <w:tcPr>
            <w:tcW w:w="4443"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Times New Roman" w:eastAsia="方正仿宋_GBK" w:hAnsi="Times New Roman"/>
                <w:b/>
                <w:szCs w:val="21"/>
              </w:rPr>
            </w:pPr>
            <w:r>
              <w:rPr>
                <w:rFonts w:ascii="Times New Roman" w:hAnsi="Times New Roman"/>
                <w:b/>
              </w:rPr>
              <w:t>单位名称</w:t>
            </w:r>
          </w:p>
        </w:tc>
        <w:tc>
          <w:tcPr>
            <w:tcW w:w="1134" w:type="dxa"/>
            <w:vMerge w:val="restart"/>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b/>
                <w:szCs w:val="21"/>
              </w:rPr>
            </w:pPr>
            <w:r>
              <w:rPr>
                <w:rFonts w:ascii="Times New Roman" w:hAnsi="Times New Roman"/>
                <w:b/>
              </w:rPr>
              <w:t>单位性质</w:t>
            </w:r>
          </w:p>
        </w:tc>
        <w:tc>
          <w:tcPr>
            <w:tcW w:w="2902" w:type="dxa"/>
            <w:vMerge w:val="restart"/>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b/>
                <w:szCs w:val="21"/>
              </w:rPr>
            </w:pPr>
            <w:r>
              <w:rPr>
                <w:rFonts w:ascii="Times New Roman" w:hAnsi="Times New Roman"/>
                <w:b/>
              </w:rPr>
              <w:t>经费保障形式</w:t>
            </w:r>
          </w:p>
        </w:tc>
      </w:tr>
      <w:tr>
        <w:tblPrEx>
          <w:tblW w:w="8479" w:type="dxa"/>
          <w:jc w:val="center"/>
          <w:tblLayout w:type="fixed"/>
          <w:tblCellMar>
            <w:top w:w="0" w:type="dxa"/>
            <w:left w:w="108" w:type="dxa"/>
            <w:bottom w:w="0" w:type="dxa"/>
            <w:right w:w="108" w:type="dxa"/>
          </w:tblCellMar>
        </w:tblPrEx>
        <w:trPr>
          <w:trHeight w:val="312"/>
          <w:jc w:val="center"/>
        </w:trPr>
        <w:tc>
          <w:tcPr>
            <w:tcW w:w="4443" w:type="dxa"/>
            <w:vMerge/>
            <w:tcBorders>
              <w:top w:val="single" w:sz="6" w:space="0" w:color="000000"/>
              <w:left w:val="single" w:sz="6" w:space="0" w:color="000000"/>
              <w:bottom w:val="single" w:sz="6" w:space="0" w:color="000000"/>
              <w:right w:val="single" w:sz="6" w:space="0" w:color="000000"/>
            </w:tcBorders>
            <w:vAlign w:val="center"/>
          </w:tcPr>
          <w:p>
            <w:pPr>
              <w:widowControl/>
              <w:jc w:val="left"/>
              <w:rPr>
                <w:rFonts w:ascii="Times New Roman" w:eastAsia="方正仿宋_GBK" w:hAnsi="Times New Roman"/>
                <w:b/>
                <w:szCs w:val="21"/>
              </w:rPr>
            </w:pPr>
          </w:p>
        </w:tc>
        <w:tc>
          <w:tcPr>
            <w:tcW w:w="1134" w:type="dxa"/>
            <w:vMerge/>
            <w:tcBorders>
              <w:top w:val="single" w:sz="6" w:space="0" w:color="000000"/>
              <w:left w:val="nil"/>
              <w:bottom w:val="single" w:sz="6" w:space="0" w:color="000000"/>
              <w:right w:val="single" w:sz="6" w:space="0" w:color="000000"/>
            </w:tcBorders>
            <w:vAlign w:val="center"/>
          </w:tcPr>
          <w:p>
            <w:pPr>
              <w:widowControl/>
              <w:jc w:val="left"/>
              <w:rPr>
                <w:rFonts w:ascii="Times New Roman" w:eastAsia="方正仿宋_GBK" w:hAnsi="Times New Roman"/>
                <w:b/>
                <w:szCs w:val="21"/>
              </w:rPr>
            </w:pPr>
          </w:p>
        </w:tc>
        <w:tc>
          <w:tcPr>
            <w:tcW w:w="2902" w:type="dxa"/>
            <w:vMerge/>
            <w:tcBorders>
              <w:top w:val="single" w:sz="6" w:space="0" w:color="000000"/>
              <w:left w:val="nil"/>
              <w:bottom w:val="single" w:sz="6" w:space="0" w:color="000000"/>
              <w:right w:val="single" w:sz="6" w:space="0" w:color="000000"/>
            </w:tcBorders>
            <w:vAlign w:val="center"/>
          </w:tcPr>
          <w:p>
            <w:pPr>
              <w:widowControl/>
              <w:jc w:val="left"/>
              <w:rPr>
                <w:rFonts w:ascii="Times New Roman" w:eastAsia="方正仿宋_GBK" w:hAnsi="Times New Roman"/>
                <w:b/>
                <w:szCs w:val="21"/>
              </w:rPr>
            </w:pPr>
          </w:p>
        </w:tc>
      </w:tr>
      <w:tr>
        <w:tblPrEx>
          <w:tblW w:w="8479" w:type="dxa"/>
          <w:jc w:val="center"/>
          <w:tblLayout w:type="fixed"/>
          <w:tblCellMar>
            <w:top w:w="0" w:type="dxa"/>
            <w:left w:w="108" w:type="dxa"/>
            <w:bottom w:w="0" w:type="dxa"/>
            <w:right w:w="108" w:type="dxa"/>
          </w:tblCellMar>
        </w:tblPrEx>
        <w:trPr>
          <w:trHeight w:val="227"/>
          <w:jc w:val="center"/>
        </w:trPr>
        <w:tc>
          <w:tcPr>
            <w:tcW w:w="444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Times New Roman" w:eastAsia="方正仿宋_GBK" w:hAnsi="Times New Roman"/>
                <w:szCs w:val="21"/>
              </w:rPr>
            </w:pPr>
            <w:r>
              <w:rPr>
                <w:rFonts w:ascii="Times New Roman" w:hAnsi="Times New Roman"/>
              </w:rPr>
              <w:t>综合科</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行政</w:t>
            </w:r>
          </w:p>
        </w:tc>
        <w:tc>
          <w:tcPr>
            <w:tcW w:w="2902"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财政性资金基本保证</w:t>
            </w:r>
          </w:p>
        </w:tc>
      </w:tr>
      <w:tr>
        <w:tblPrEx>
          <w:tblW w:w="8479" w:type="dxa"/>
          <w:jc w:val="center"/>
          <w:tblLayout w:type="fixed"/>
          <w:tblCellMar>
            <w:top w:w="0" w:type="dxa"/>
            <w:left w:w="108" w:type="dxa"/>
            <w:bottom w:w="0" w:type="dxa"/>
            <w:right w:w="108" w:type="dxa"/>
          </w:tblCellMar>
        </w:tblPrEx>
        <w:trPr>
          <w:trHeight w:val="520"/>
          <w:jc w:val="center"/>
        </w:trPr>
        <w:tc>
          <w:tcPr>
            <w:tcW w:w="444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Times New Roman" w:eastAsia="方正仿宋_GBK" w:hAnsi="Times New Roman"/>
                <w:szCs w:val="21"/>
              </w:rPr>
            </w:pPr>
            <w:r>
              <w:rPr>
                <w:rFonts w:ascii="Times New Roman" w:hAnsi="Times New Roman"/>
              </w:rPr>
              <w:t>政治安全和维稳指导科（反邪教协调科）</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行政</w:t>
            </w:r>
          </w:p>
        </w:tc>
        <w:tc>
          <w:tcPr>
            <w:tcW w:w="2902"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财政性资金基本保证</w:t>
            </w:r>
          </w:p>
        </w:tc>
      </w:tr>
      <w:tr>
        <w:tblPrEx>
          <w:tblW w:w="8479" w:type="dxa"/>
          <w:jc w:val="center"/>
          <w:tblLayout w:type="fixed"/>
          <w:tblCellMar>
            <w:top w:w="0" w:type="dxa"/>
            <w:left w:w="108" w:type="dxa"/>
            <w:bottom w:w="0" w:type="dxa"/>
            <w:right w:w="108" w:type="dxa"/>
          </w:tblCellMar>
        </w:tblPrEx>
        <w:trPr>
          <w:trHeight w:val="227"/>
          <w:jc w:val="center"/>
        </w:trPr>
        <w:tc>
          <w:tcPr>
            <w:tcW w:w="444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Times New Roman" w:eastAsia="方正仿宋_GBK" w:hAnsi="Times New Roman"/>
                <w:bCs/>
                <w:szCs w:val="21"/>
              </w:rPr>
            </w:pPr>
            <w:r>
              <w:rPr>
                <w:rFonts w:ascii="Times New Roman" w:hAnsi="Times New Roman"/>
                <w:bCs/>
              </w:rPr>
              <w:t>社会治理和综治督导科（专项行动办公室、护路护线联防办公室、人民防线建设办公室）</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行政</w:t>
            </w:r>
          </w:p>
        </w:tc>
        <w:tc>
          <w:tcPr>
            <w:tcW w:w="2902"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财政性资金基本保证</w:t>
            </w:r>
          </w:p>
        </w:tc>
      </w:tr>
      <w:tr>
        <w:tblPrEx>
          <w:tblW w:w="8479" w:type="dxa"/>
          <w:jc w:val="center"/>
          <w:tblLayout w:type="fixed"/>
          <w:tblCellMar>
            <w:top w:w="0" w:type="dxa"/>
            <w:left w:w="108" w:type="dxa"/>
            <w:bottom w:w="0" w:type="dxa"/>
            <w:right w:w="108" w:type="dxa"/>
          </w:tblCellMar>
        </w:tblPrEx>
        <w:trPr>
          <w:trHeight w:val="227"/>
          <w:jc w:val="center"/>
        </w:trPr>
        <w:tc>
          <w:tcPr>
            <w:tcW w:w="444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Times New Roman" w:eastAsia="方正仿宋_GBK" w:hAnsi="Times New Roman"/>
                <w:szCs w:val="21"/>
              </w:rPr>
            </w:pPr>
            <w:r>
              <w:rPr>
                <w:rFonts w:ascii="Times New Roman" w:hAnsi="Times New Roman"/>
              </w:rPr>
              <w:t>执法监督科（涉法涉诉信访科、法治科、县司改办）</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行政</w:t>
            </w:r>
          </w:p>
        </w:tc>
        <w:tc>
          <w:tcPr>
            <w:tcW w:w="2902"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财政性资金基本保证</w:t>
            </w:r>
          </w:p>
        </w:tc>
      </w:tr>
      <w:tr>
        <w:tblPrEx>
          <w:tblW w:w="8479" w:type="dxa"/>
          <w:jc w:val="center"/>
          <w:tblLayout w:type="fixed"/>
          <w:tblCellMar>
            <w:top w:w="0" w:type="dxa"/>
            <w:left w:w="108" w:type="dxa"/>
            <w:bottom w:w="0" w:type="dxa"/>
            <w:right w:w="108" w:type="dxa"/>
          </w:tblCellMar>
        </w:tblPrEx>
        <w:trPr>
          <w:trHeight w:val="227"/>
          <w:jc w:val="center"/>
        </w:trPr>
        <w:tc>
          <w:tcPr>
            <w:tcW w:w="444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Times New Roman" w:eastAsia="方正仿宋_GBK" w:hAnsi="Times New Roman"/>
                <w:szCs w:val="21"/>
              </w:rPr>
            </w:pPr>
            <w:r>
              <w:rPr>
                <w:rFonts w:ascii="Times New Roman" w:hAnsi="Times New Roman"/>
              </w:rPr>
              <w:t>政策研究室（政治综合指挥中心）</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行政</w:t>
            </w:r>
          </w:p>
        </w:tc>
        <w:tc>
          <w:tcPr>
            <w:tcW w:w="2902"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财政性资金基本保证</w:t>
            </w:r>
          </w:p>
        </w:tc>
      </w:tr>
      <w:tr>
        <w:tblPrEx>
          <w:tblW w:w="8479" w:type="dxa"/>
          <w:jc w:val="center"/>
          <w:tblLayout w:type="fixed"/>
          <w:tblCellMar>
            <w:top w:w="0" w:type="dxa"/>
            <w:left w:w="108" w:type="dxa"/>
            <w:bottom w:w="0" w:type="dxa"/>
            <w:right w:w="108" w:type="dxa"/>
          </w:tblCellMar>
        </w:tblPrEx>
        <w:trPr>
          <w:trHeight w:val="227"/>
          <w:jc w:val="center"/>
        </w:trPr>
        <w:tc>
          <w:tcPr>
            <w:tcW w:w="444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Times New Roman" w:eastAsia="方正仿宋_GBK" w:hAnsi="Times New Roman"/>
                <w:szCs w:val="21"/>
              </w:rPr>
            </w:pPr>
            <w:r>
              <w:rPr>
                <w:rFonts w:ascii="Times New Roman" w:hAnsi="Times New Roman"/>
              </w:rPr>
              <w:t>政治处综合指导科</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行政</w:t>
            </w:r>
          </w:p>
        </w:tc>
        <w:tc>
          <w:tcPr>
            <w:tcW w:w="2902" w:type="dxa"/>
            <w:tcBorders>
              <w:top w:val="single" w:sz="6" w:space="0" w:color="000000"/>
              <w:left w:val="nil"/>
              <w:bottom w:val="single" w:sz="6" w:space="0" w:color="000000"/>
              <w:right w:val="single" w:sz="6" w:space="0" w:color="000000"/>
            </w:tcBorders>
            <w:vAlign w:val="center"/>
          </w:tcPr>
          <w:p>
            <w:pPr>
              <w:spacing w:line="300" w:lineRule="exact"/>
              <w:jc w:val="center"/>
              <w:rPr>
                <w:rFonts w:ascii="Times New Roman" w:eastAsia="方正仿宋_GBK" w:hAnsi="Times New Roman"/>
                <w:szCs w:val="21"/>
              </w:rPr>
            </w:pPr>
            <w:r>
              <w:rPr>
                <w:rFonts w:ascii="Times New Roman" w:hAnsi="Times New Roman"/>
              </w:rPr>
              <w:t>财政性资金基本保证</w:t>
            </w:r>
          </w:p>
        </w:tc>
      </w:tr>
    </w:tbl>
    <w:p>
      <w:pPr>
        <w:widowControl/>
        <w:spacing w:after="160" w:line="580" w:lineRule="exact"/>
        <w:ind w:firstLine="640" w:firstLineChars="200"/>
        <w:rPr>
          <w:rFonts w:ascii="Times New Roman" w:eastAsia="黑体" w:hAnsi="Times New Roman"/>
          <w:sz w:val="32"/>
          <w:szCs w:val="32"/>
        </w:rPr>
      </w:pPr>
    </w:p>
    <w:p>
      <w:pPr>
        <w:widowControl/>
        <w:spacing w:after="160" w:line="580" w:lineRule="exact"/>
        <w:ind w:firstLine="640" w:firstLineChars="200"/>
        <w:rPr>
          <w:rFonts w:ascii="Times New Roman" w:eastAsia="黑体" w:hAnsi="Times New Roman"/>
          <w:sz w:val="32"/>
          <w:szCs w:val="32"/>
        </w:rPr>
      </w:pPr>
    </w:p>
    <w:p>
      <w:pPr>
        <w:widowControl/>
        <w:spacing w:after="160" w:line="580" w:lineRule="exact"/>
        <w:ind w:firstLine="640" w:firstLineChars="200"/>
        <w:rPr>
          <w:rFonts w:ascii="Times New Roman" w:eastAsia="黑体" w:hAnsi="Times New Roman"/>
          <w:sz w:val="32"/>
          <w:szCs w:val="32"/>
        </w:rPr>
      </w:pPr>
    </w:p>
    <w:p>
      <w:pPr>
        <w:widowControl/>
        <w:spacing w:after="160" w:line="580" w:lineRule="exact"/>
        <w:ind w:firstLine="640" w:firstLineChars="200"/>
        <w:rPr>
          <w:rFonts w:ascii="Times New Roman" w:eastAsia="黑体" w:hAnsi="Times New Roman"/>
          <w:sz w:val="32"/>
          <w:szCs w:val="32"/>
        </w:rPr>
        <w:sectPr>
          <w:pgSz w:w="11906" w:h="16838"/>
          <w:pgMar w:top="2041" w:right="1531" w:bottom="2041" w:left="1531" w:header="851" w:footer="992" w:gutter="0"/>
          <w:pgNumType w:fmt="numberInDash" w:start="1"/>
          <w:cols w:num="1" w:space="0"/>
          <w:titlePg/>
          <w:docGrid w:type="lines" w:linePitch="312" w:charSpace="0"/>
        </w:sectPr>
      </w:pPr>
    </w:p>
    <w:p>
      <w:pPr>
        <w:widowControl/>
        <w:spacing w:after="160" w:line="580" w:lineRule="exact"/>
        <w:ind w:firstLine="640" w:firstLineChars="200"/>
        <w:rPr>
          <w:rFonts w:ascii="Times New Roman" w:eastAsia="黑体" w:hAnsi="Times New Roman"/>
          <w:sz w:val="32"/>
          <w:szCs w:val="32"/>
        </w:rPr>
        <w:sectPr>
          <w:type w:val="continuous"/>
          <w:pgSz w:w="11906" w:h="16838"/>
          <w:pgMar w:top="2041" w:right="1531" w:bottom="2041" w:left="1531" w:header="851" w:footer="992" w:gutter="0"/>
          <w:pgNumType w:fmt="numberInDash"/>
          <w:cols w:num="1" w:space="0"/>
          <w:titlePg/>
          <w:docGrid w:type="lines" w:linePitch="312" w:charSpace="0"/>
        </w:sectPr>
      </w:pPr>
    </w:p>
    <w:p>
      <w:pPr>
        <w:widowControl/>
        <w:spacing w:after="160" w:line="580" w:lineRule="exact"/>
        <w:ind w:firstLine="640" w:firstLineChars="200"/>
        <w:rPr>
          <w:rFonts w:ascii="Times New Roman" w:eastAsia="黑体" w:hAnsi="Times New Roman"/>
          <w:sz w:val="32"/>
          <w:szCs w:val="32"/>
        </w:rPr>
        <w:sectPr>
          <w:pgSz w:w="11906" w:h="16838"/>
          <w:pgMar w:top="2041" w:right="1531" w:bottom="2041" w:left="1531" w:header="851" w:footer="992" w:gutter="0"/>
          <w:pgNumType w:fmt="numberInDash"/>
          <w:cols w:num="1" w:space="0"/>
          <w:titlePg/>
          <w:docGrid w:type="lines" w:linePitch="312" w:charSpace="0"/>
        </w:sectPr>
      </w:pPr>
      <w:r>
        <mc:AlternateContent>
          <mc:Choice Requires="wps">
            <w:drawing>
              <wp:anchor distT="0" distB="0" distL="114300" distR="114300" simplePos="0" relativeHeight="25167257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 name="文本框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3355" cy="2200275"/>
                        </a:xfrm>
                        <a:prstGeom prst="rect">
                          <a:avLst/>
                        </a:prstGeom>
                        <a:noFill/>
                        <a:ln w="6350">
                          <a:noFill/>
                        </a:ln>
                      </wps:spPr>
                      <wps:txbx>
                        <w:txbxContent>
                          <w:p>
                            <w:pPr>
                              <w:widowControl/>
                              <w:jc w:val="center"/>
                              <w:rPr>
                                <w:rFonts w:ascii="黑体" w:eastAsia="黑体" w:hAnsi="黑体" w:cs="黑体"/>
                                <w:color w:val="000000"/>
                                <w:sz w:val="96"/>
                                <w:szCs w:val="96"/>
                              </w:rPr>
                            </w:pPr>
                          </w:p>
                          <w:p>
                            <w:pPr>
                              <w:widowControl/>
                              <w:jc w:val="center"/>
                              <w:rPr>
                                <w:rFonts w:ascii="黑体" w:eastAsia="黑体" w:hAnsi="黑体" w:cs="黑体"/>
                                <w:color w:val="000000"/>
                                <w:sz w:val="96"/>
                                <w:szCs w:val="96"/>
                              </w:rPr>
                            </w:pPr>
                          </w:p>
                        </w:txbxContent>
                      </wps:txbx>
                      <wps:bodyPr upright="1"/>
                    </wps:wsp>
                  </a:graphicData>
                </a:graphic>
              </wp:anchor>
            </w:drawing>
          </mc:Choice>
          <mc:Fallback>
            <w:pict>
              <v:shape id="文本框 37" o:spid="_x0000_s1035" type="#_x0000_t202" style="width:613.65pt;height:173.25pt;margin-top:238.15pt;margin-left:-85.7pt;mso-height-relative:page;mso-width-relative:page;position:absolute;z-index:251673600" coordsize="21600,21600" filled="f" stroked="f">
                <o:lock v:ext="edit" aspectratio="f"/>
                <v:textbox>
                  <w:txbxContent>
                    <w:p>
                      <w:pPr>
                        <w:widowControl/>
                        <w:jc w:val="center"/>
                        <w:rPr>
                          <w:rFonts w:ascii="黑体" w:eastAsia="黑体" w:hAnsi="黑体" w:cs="黑体"/>
                          <w:color w:val="000000"/>
                          <w:sz w:val="96"/>
                          <w:szCs w:val="96"/>
                        </w:rPr>
                      </w:pPr>
                    </w:p>
                    <w:p>
                      <w:pPr>
                        <w:widowControl/>
                        <w:jc w:val="center"/>
                        <w:rPr>
                          <w:rFonts w:ascii="黑体" w:eastAsia="黑体" w:hAnsi="黑体" w:cs="黑体"/>
                          <w:color w:val="000000"/>
                          <w:sz w:val="96"/>
                          <w:szCs w:val="96"/>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r>
        <mc:AlternateContent>
          <mc:Choice Requires="wps">
            <w:drawing>
              <wp:anchor distT="0" distB="0" distL="114300" distR="114300" simplePos="0" relativeHeight="25167462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1" name="文本框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3355" cy="3341370"/>
                        </a:xfrm>
                        <a:prstGeom prst="rect">
                          <a:avLst/>
                        </a:prstGeom>
                        <a:pattFill prst="pct5">
                          <a:fgClr>
                            <a:srgbClr val="FFD966"/>
                          </a:fgClr>
                          <a:bgClr>
                            <a:srgbClr val="FFFFFF"/>
                          </a:bgClr>
                        </a:pattFill>
                        <a:ln w="6350">
                          <a:solidFill>
                            <a:srgbClr val="FFD966"/>
                          </a:solidFill>
                          <a:round/>
                          <a:headEnd/>
                          <a:tailEnd/>
                        </a:ln>
                      </wps:spPr>
                      <wps:txbx>
                        <w:txbxContent>
                          <w:p>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第二部分</w:t>
                            </w:r>
                            <w:r>
                              <w:rPr>
                                <w:rFonts w:ascii="黑体" w:eastAsia="黑体" w:hAnsi="黑体" w:cs="黑体"/>
                                <w:color w:val="000000"/>
                                <w:sz w:val="90"/>
                                <w:szCs w:val="90"/>
                              </w:rPr>
                              <w:t xml:space="preserve"> </w:t>
                            </w:r>
                          </w:p>
                          <w:p>
                            <w:pPr>
                              <w:widowControl/>
                              <w:jc w:val="center"/>
                              <w:rPr>
                                <w:rFonts w:ascii="黑体" w:eastAsia="黑体" w:hAnsi="黑体" w:cs="黑体"/>
                                <w:color w:val="000000"/>
                                <w:sz w:val="90"/>
                                <w:szCs w:val="90"/>
                              </w:rPr>
                            </w:pPr>
                            <w:r>
                              <w:rPr>
                                <w:rFonts w:ascii="黑体" w:eastAsia="黑体" w:hAnsi="黑体" w:cs="黑体"/>
                                <w:color w:val="000000"/>
                                <w:sz w:val="90"/>
                                <w:szCs w:val="90"/>
                              </w:rPr>
                              <w:t>2019</w:t>
                            </w:r>
                            <w:r>
                              <w:rPr>
                                <w:rFonts w:ascii="黑体" w:eastAsia="黑体" w:hAnsi="黑体" w:cs="黑体" w:hint="eastAsia"/>
                                <w:color w:val="000000"/>
                                <w:sz w:val="90"/>
                                <w:szCs w:val="90"/>
                              </w:rPr>
                              <w:t>年部门决算情况说明</w:t>
                            </w:r>
                          </w:p>
                          <w:p/>
                        </w:txbxContent>
                      </wps:txbx>
                      <wps:bodyPr anchor="ctr" anchorCtr="0" upright="1"/>
                    </wps:wsp>
                  </a:graphicData>
                </a:graphic>
              </wp:anchor>
            </w:drawing>
          </mc:Choice>
          <mc:Fallback>
            <w:pict>
              <v:shape id="文本框 38" o:spid="_x0000_s1036" type="#_x0000_t202" style="width:613.65pt;height:263.1pt;margin-top:4.35pt;margin-left:-90.8pt;mso-height-relative:page;mso-width-relative:page;position:absolute;v-text-anchor:middle;z-index:251675648" coordsize="21600,21600" filled="t" fillcolor="#ffd966" stroked="t" strokecolor="#ffd966">
                <v:fill r:id="rId11" o:title="5%" color2="white" type="pattern"/>
                <v:stroke joinstyle="round"/>
                <o:lock v:ext="edit" aspectratio="f"/>
                <v:textbox>
                  <w:txbxContent>
                    <w:p>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第二部分</w:t>
                      </w:r>
                      <w:r>
                        <w:rPr>
                          <w:rFonts w:ascii="黑体" w:eastAsia="黑体" w:hAnsi="黑体" w:cs="黑体"/>
                          <w:color w:val="000000"/>
                          <w:sz w:val="90"/>
                          <w:szCs w:val="90"/>
                        </w:rPr>
                        <w:t xml:space="preserve"> </w:t>
                      </w:r>
                    </w:p>
                    <w:p>
                      <w:pPr>
                        <w:widowControl/>
                        <w:jc w:val="center"/>
                        <w:rPr>
                          <w:rFonts w:ascii="黑体" w:eastAsia="黑体" w:hAnsi="黑体" w:cs="黑体"/>
                          <w:color w:val="000000"/>
                          <w:sz w:val="90"/>
                          <w:szCs w:val="90"/>
                        </w:rPr>
                      </w:pPr>
                      <w:r>
                        <w:rPr>
                          <w:rFonts w:ascii="黑体" w:eastAsia="黑体" w:hAnsi="黑体" w:cs="黑体"/>
                          <w:color w:val="000000"/>
                          <w:sz w:val="90"/>
                          <w:szCs w:val="90"/>
                        </w:rPr>
                        <w:t>2019</w:t>
                      </w:r>
                      <w:r>
                        <w:rPr>
                          <w:rFonts w:ascii="黑体" w:eastAsia="黑体" w:hAnsi="黑体" w:cs="黑体" w:hint="eastAsia"/>
                          <w:color w:val="000000"/>
                          <w:sz w:val="90"/>
                          <w:szCs w:val="90"/>
                        </w:rPr>
                        <w:t>年部门决算情况说明</w:t>
                      </w:r>
                    </w:p>
                    <w:p/>
                  </w:txbxContent>
                </v:textbox>
              </v:shape>
            </w:pict>
          </mc:Fallback>
        </mc:AlternateContent>
      </w: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jc w:val="center"/>
        <w:rPr>
          <w:rFonts w:ascii="黑体" w:eastAsia="黑体" w:hAnsi="黑体" w:cs="黑体"/>
          <w:sz w:val="56"/>
          <w:szCs w:val="72"/>
        </w:rPr>
      </w:pPr>
    </w:p>
    <w:p>
      <w:pPr>
        <w:keepNext/>
        <w:keepLines/>
        <w:snapToGrid w:val="0"/>
        <w:spacing w:line="580" w:lineRule="exact"/>
        <w:ind w:firstLine="640" w:firstLineChars="200"/>
        <w:outlineLvl w:val="1"/>
        <w:rPr>
          <w:rFonts w:ascii="黑体" w:eastAsia="黑体" w:hAnsi="Calibri"/>
          <w:sz w:val="32"/>
          <w:szCs w:val="32"/>
        </w:rPr>
      </w:pPr>
      <w:r>
        <w:rPr>
          <w:rFonts w:ascii="黑体" w:eastAsia="黑体" w:hAnsi="Calibri" w:hint="eastAsia"/>
          <w:sz w:val="32"/>
          <w:szCs w:val="32"/>
        </w:rPr>
        <w:t>一、收入</w:t>
      </w:r>
      <w:r>
        <w:rPr>
          <w:rFonts w:ascii="黑体" w:eastAsia="黑体" w:hAnsi="Cambria" w:cs="黑体" w:hint="eastAsia"/>
          <w:kern w:val="0"/>
          <w:sz w:val="32"/>
          <w:szCs w:val="32"/>
        </w:rPr>
        <w:t>支出</w:t>
      </w:r>
      <w:r>
        <w:rPr>
          <w:rFonts w:ascii="黑体" w:eastAsia="黑体" w:hAnsi="Calibri" w:hint="eastAsia"/>
          <w:sz w:val="32"/>
          <w:szCs w:val="32"/>
        </w:rPr>
        <w:t>决算总体情况说明</w:t>
      </w:r>
    </w:p>
    <w:p>
      <w:pPr>
        <w:autoSpaceDE w:val="0"/>
        <w:autoSpaceDN w:val="0"/>
        <w:adjustRightInd w:val="0"/>
        <w:ind w:firstLine="570"/>
        <w:rPr>
          <w:rFonts w:ascii="宋体" w:hAnsi="宋体" w:cs="仿宋_GB2312"/>
          <w:sz w:val="32"/>
          <w:szCs w:val="32"/>
        </w:rPr>
      </w:pPr>
      <w:r>
        <w:rPr>
          <w:rFonts w:ascii="宋体" w:hAnsi="宋体" w:cs="仿宋_GB2312" w:hint="eastAsia"/>
          <w:sz w:val="32"/>
          <w:szCs w:val="32"/>
        </w:rPr>
        <w:t>本部门2019年度收入573.36万元，与2018年度466.71决算相比，收入增加106.65万元，增长22.85%，增长主要原因是我单位人员及人员工资均增加。本部门2019年度支出573.36万元，与2018年度466.71决算相比，收入增加106.65万元，增长22.85%，增长主要原因是我单位人员及人员工资均增加。</w:t>
      </w:r>
    </w:p>
    <w:p>
      <w:pPr>
        <w:autoSpaceDE w:val="0"/>
        <w:autoSpaceDN w:val="0"/>
        <w:adjustRightInd w:val="0"/>
        <w:ind w:firstLine="570"/>
        <w:rPr>
          <w:rFonts w:ascii="宋体" w:hAnsi="宋体" w:cs="仿宋_GB2312"/>
          <w:sz w:val="32"/>
          <w:szCs w:val="32"/>
        </w:rPr>
      </w:pPr>
    </w:p>
    <w:p>
      <w:pPr>
        <w:keepNext/>
        <w:keepLines/>
        <w:snapToGrid w:val="0"/>
        <w:spacing w:line="580" w:lineRule="exact"/>
        <w:ind w:firstLine="640" w:firstLineChars="200"/>
        <w:outlineLvl w:val="1"/>
        <w:rPr>
          <w:rFonts w:ascii="黑体" w:eastAsia="黑体" w:hAnsi="Calibri"/>
          <w:sz w:val="32"/>
          <w:szCs w:val="32"/>
        </w:rPr>
      </w:pPr>
      <w:r>
        <w:rPr>
          <w:rFonts w:ascii="黑体" w:eastAsia="黑体" w:hAnsi="Calibri" w:hint="eastAsia"/>
          <w:sz w:val="32"/>
          <w:szCs w:val="32"/>
        </w:rPr>
        <w:t>二、收入决算情况说明</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年度本年收入合计573.36万元，其中：财政拨款收入573.36万元，占100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；事业收入</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；经营收入</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；其他收入</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。如图所示</w:t>
      </w:r>
    </w:p>
    <w:p>
      <w:pPr>
        <w:adjustRightInd w:val="0"/>
        <w:snapToGrid w:val="0"/>
        <w:spacing w:line="580" w:lineRule="exact"/>
        <w:ind w:firstLine="640" w:firstLineChars="200"/>
        <w:rPr>
          <w:rFonts w:ascii="仿宋_GB2312" w:eastAsia="仿宋_GB2312" w:hAnsi="Times New Roman" w:cs="DengXian-Regular"/>
          <w:sz w:val="32"/>
          <w:szCs w:val="32"/>
        </w:rPr>
      </w:pPr>
    </w:p>
    <w:p>
      <w:pPr>
        <w:adjustRightInd w:val="0"/>
        <w:snapToGrid w:val="0"/>
        <w:spacing w:line="580" w:lineRule="exact"/>
        <w:ind w:firstLine="640" w:firstLineChars="200"/>
        <w:rPr>
          <w:rFonts w:ascii="仿宋_GB2312" w:eastAsia="仿宋_GB2312" w:hAnsi="Times New Roman" w:cs="DengXian-Regular"/>
          <w:sz w:val="32"/>
          <w:szCs w:val="32"/>
        </w:rPr>
      </w:pPr>
      <w:r>
        <w:drawing>
          <wp:anchor distT="0" distB="0" distL="114300" distR="114300" simplePos="0" relativeHeight="251680768" behindDoc="0" locked="0" layoutInCell="1" allowOverlap="1">
            <wp:simplePos x="0" y="0"/>
            <wp:positionH relativeFrom="column">
              <wp:posOffset>1100455</wp:posOffset>
            </wp:positionH>
            <wp:positionV relativeFrom="paragraph">
              <wp:posOffset>220345</wp:posOffset>
            </wp:positionV>
            <wp:extent cx="3448050" cy="2736850"/>
            <wp:effectExtent l="4445" t="4445" r="14605" b="20955"/>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keepLines/>
        <w:snapToGrid w:val="0"/>
        <w:spacing w:line="580" w:lineRule="exact"/>
        <w:ind w:firstLine="640" w:firstLineChars="200"/>
        <w:outlineLvl w:val="1"/>
        <w:rPr>
          <w:rFonts w:ascii="黑体" w:eastAsia="黑体" w:hAnsi="Calibri"/>
          <w:sz w:val="32"/>
          <w:szCs w:val="32"/>
        </w:rPr>
      </w:pPr>
      <w:r>
        <w:drawing>
          <wp:anchor distT="0" distB="0" distL="114300" distR="114300" simplePos="0" relativeHeight="251681792" behindDoc="0" locked="0" layoutInCell="1" allowOverlap="1">
            <wp:simplePos x="0" y="0"/>
            <wp:positionH relativeFrom="column">
              <wp:posOffset>1131570</wp:posOffset>
            </wp:positionH>
            <wp:positionV relativeFrom="paragraph">
              <wp:posOffset>2159000</wp:posOffset>
            </wp:positionV>
            <wp:extent cx="3293110" cy="2814955"/>
            <wp:effectExtent l="4445" t="4445" r="17145" b="19050"/>
            <wp:wrapTopAndBottom/>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黑体" w:eastAsia="黑体" w:hAnsi="Calibri" w:hint="eastAsia"/>
          <w:sz w:val="32"/>
          <w:szCs w:val="32"/>
        </w:rPr>
        <w:t>三、支出决算情况说明</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年度本年支出合计575.09万元，其中：基本支出575.09元，占100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；项目支出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；经营支出</w:t>
      </w:r>
      <w:r>
        <w:rPr>
          <w:rFonts w:ascii="仿宋_GB2312" w:eastAsia="仿宋_GB2312" w:hAnsi="Times New Roman" w:cs="DengXian-Regular"/>
          <w:sz w:val="32"/>
          <w:szCs w:val="32"/>
        </w:rPr>
        <w:t>00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w:t>
      </w:r>
    </w:p>
    <w:p>
      <w:pPr>
        <w:adjustRightInd w:val="0"/>
        <w:snapToGrid w:val="0"/>
        <w:spacing w:line="580" w:lineRule="exact"/>
        <w:ind w:firstLine="640" w:firstLineChars="200"/>
        <w:rPr>
          <w:rFonts w:ascii="仿宋_GB2312" w:eastAsia="仿宋_GB2312" w:hAnsi="Times New Roman" w:cs="DengXian-Regular"/>
          <w:sz w:val="32"/>
          <w:szCs w:val="32"/>
        </w:rPr>
      </w:pPr>
    </w:p>
    <w:p>
      <w:pPr>
        <w:adjustRightInd w:val="0"/>
        <w:snapToGrid w:val="0"/>
        <w:spacing w:line="580" w:lineRule="exact"/>
        <w:ind w:firstLine="640" w:firstLineChars="200"/>
        <w:rPr>
          <w:rFonts w:ascii="仿宋_GB2312" w:eastAsia="仿宋_GB2312" w:hAnsi="Times New Roman" w:cs="DengXian-Regular"/>
          <w:sz w:val="32"/>
          <w:szCs w:val="32"/>
        </w:rPr>
      </w:pPr>
    </w:p>
    <w:p>
      <w:pPr>
        <w:adjustRightInd w:val="0"/>
        <w:snapToGrid w:val="0"/>
        <w:spacing w:line="580" w:lineRule="exact"/>
        <w:ind w:firstLine="640" w:firstLineChars="200"/>
        <w:rPr>
          <w:rFonts w:ascii="仿宋_GB2312" w:eastAsia="仿宋_GB2312" w:hAnsi="Times New Roman" w:cs="DengXian-Regular"/>
          <w:sz w:val="32"/>
          <w:szCs w:val="32"/>
        </w:rPr>
      </w:pPr>
    </w:p>
    <w:p>
      <w:pPr>
        <w:adjustRightInd w:val="0"/>
        <w:snapToGrid w:val="0"/>
        <w:spacing w:line="580" w:lineRule="exact"/>
        <w:ind w:firstLine="640" w:firstLineChars="200"/>
        <w:rPr>
          <w:rFonts w:ascii="仿宋_GB2312" w:eastAsia="仿宋_GB2312" w:hAnsi="Times New Roman" w:cs="DengXian-Regular"/>
          <w:sz w:val="32"/>
          <w:szCs w:val="32"/>
        </w:rPr>
      </w:pPr>
    </w:p>
    <w:p>
      <w:pPr>
        <w:adjustRightInd w:val="0"/>
        <w:snapToGrid w:val="0"/>
        <w:spacing w:line="580" w:lineRule="exact"/>
        <w:ind w:firstLine="640" w:firstLineChars="200"/>
        <w:rPr>
          <w:rFonts w:ascii="仿宋_GB2312" w:eastAsia="仿宋_GB2312" w:hAnsi="Times New Roman" w:cs="DengXian-Regular"/>
          <w:sz w:val="32"/>
          <w:szCs w:val="32"/>
        </w:rPr>
      </w:pPr>
    </w:p>
    <w:p>
      <w:pPr>
        <w:adjustRightInd w:val="0"/>
        <w:snapToGrid w:val="0"/>
        <w:spacing w:line="580" w:lineRule="exact"/>
        <w:ind w:firstLine="640" w:firstLineChars="200"/>
        <w:rPr>
          <w:rFonts w:ascii="仿宋_GB2312" w:eastAsia="仿宋_GB2312" w:hAnsi="Times New Roman" w:cs="DengXian-Regular"/>
          <w:sz w:val="32"/>
          <w:szCs w:val="32"/>
        </w:rPr>
      </w:pPr>
    </w:p>
    <w:p>
      <w:pPr>
        <w:keepNext/>
        <w:keepLines/>
        <w:snapToGrid w:val="0"/>
        <w:spacing w:line="580" w:lineRule="exact"/>
        <w:ind w:firstLine="640" w:firstLineChars="200"/>
        <w:outlineLvl w:val="1"/>
        <w:rPr>
          <w:rFonts w:ascii="黑体" w:eastAsia="黑体" w:hAnsi="Calibri"/>
          <w:sz w:val="32"/>
          <w:szCs w:val="32"/>
        </w:rPr>
      </w:pPr>
      <w:r>
        <w:rPr>
          <w:rFonts w:ascii="黑体" w:eastAsia="黑体" w:hAnsi="Calibri" w:hint="eastAsia"/>
          <w:sz w:val="32"/>
          <w:szCs w:val="32"/>
        </w:rPr>
        <w:t>四、</w:t>
      </w:r>
      <w:r>
        <w:rPr>
          <w:rFonts w:ascii="黑体" w:eastAsia="黑体" w:hAnsi="Cambria" w:cs="黑体" w:hint="eastAsia"/>
          <w:kern w:val="0"/>
          <w:sz w:val="32"/>
          <w:szCs w:val="32"/>
        </w:rPr>
        <w:t>财政</w:t>
      </w:r>
      <w:r>
        <w:rPr>
          <w:rFonts w:ascii="黑体" w:eastAsia="黑体" w:hAnsi="Calibri" w:hint="eastAsia"/>
          <w:sz w:val="32"/>
          <w:szCs w:val="32"/>
        </w:rPr>
        <w:t>拨款收入支出决算总体情况说明</w:t>
      </w:r>
    </w:p>
    <w:p>
      <w:pPr>
        <w:snapToGrid w:val="0"/>
        <w:spacing w:line="580" w:lineRule="exact"/>
        <w:ind w:firstLine="640" w:firstLineChars="20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 xml:space="preserve">2018 </w:t>
      </w:r>
      <w:r>
        <w:rPr>
          <w:rFonts w:ascii="楷体_GB2312" w:eastAsia="楷体_GB2312" w:hAnsi="Times New Roman" w:cs="DengXian-Bold" w:hint="eastAsia"/>
          <w:b/>
          <w:bCs/>
          <w:sz w:val="32"/>
          <w:szCs w:val="32"/>
        </w:rPr>
        <w:t>年度决算对比情况</w:t>
      </w:r>
    </w:p>
    <w:p>
      <w:pPr>
        <w:autoSpaceDE w:val="0"/>
        <w:autoSpaceDN w:val="0"/>
        <w:adjustRightInd w:val="0"/>
        <w:ind w:firstLine="570"/>
        <w:rPr>
          <w:rFonts w:ascii="宋体" w:hAnsi="宋体" w:cs="仿宋_GB2312"/>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年度形成的财政拨款收支均为一般公共预算财政拨款，</w:t>
      </w:r>
      <w:r>
        <w:rPr>
          <w:rFonts w:ascii="宋体" w:hAnsi="宋体" w:cs="仿宋_GB2312" w:hint="eastAsia"/>
          <w:sz w:val="32"/>
          <w:szCs w:val="32"/>
        </w:rPr>
        <w:t>其中2019年财政拨款收入573.36万元，比2018年增加106.65万元，增长22.85%，主要是我单位项目增多。本年财政拨款支出574.77万元，比2018年增加107.89万元，增长18.7%，主要是我单位项目增多。</w:t>
      </w:r>
    </w:p>
    <w:p>
      <w:pPr>
        <w:autoSpaceDE w:val="0"/>
        <w:autoSpaceDN w:val="0"/>
        <w:adjustRightInd w:val="0"/>
        <w:ind w:firstLine="570"/>
        <w:rPr>
          <w:rFonts w:ascii="宋体" w:cs="仿宋_GB2312"/>
          <w:sz w:val="32"/>
          <w:szCs w:val="32"/>
        </w:rPr>
      </w:pPr>
      <w:r>
        <w:rPr>
          <w:rFonts w:ascii="宋体" w:cs="仿宋_GB2312"/>
          <w:sz w:val="32"/>
          <w:szCs w:val="32"/>
        </w:rPr>
        <w:drawing>
          <wp:inline distT="0" distB="0" distL="114300" distR="114300">
            <wp:extent cx="3766820" cy="4164965"/>
            <wp:effectExtent l="4445" t="5080" r="19685" b="20955"/>
            <wp:docPr id="2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napToGrid w:val="0"/>
        <w:spacing w:line="580" w:lineRule="exact"/>
        <w:rPr>
          <w:rFonts w:ascii="楷体_GB2312" w:eastAsia="楷体_GB2312" w:hAnsi="Times New Roman" w:cs="DengXian-Bold"/>
          <w:b/>
          <w:bCs/>
          <w:sz w:val="32"/>
          <w:szCs w:val="32"/>
        </w:rPr>
      </w:pPr>
    </w:p>
    <w:p>
      <w:pPr>
        <w:snapToGrid w:val="0"/>
        <w:spacing w:line="580" w:lineRule="exact"/>
        <w:ind w:firstLine="640" w:firstLineChars="20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pPr>
        <w:autoSpaceDE w:val="0"/>
        <w:autoSpaceDN w:val="0"/>
        <w:adjustRightInd w:val="0"/>
        <w:ind w:firstLine="570"/>
        <w:rPr>
          <w:rFonts w:ascii="宋体" w:hAnsi="宋体" w:cs="仿宋_GB2312"/>
          <w:sz w:val="32"/>
          <w:szCs w:val="32"/>
        </w:rPr>
      </w:pPr>
      <w:r>
        <w:rPr>
          <w:rFonts w:ascii="宋体" w:hAnsi="宋体" w:cs="仿宋_GB2312" w:hint="eastAsia"/>
          <w:sz w:val="32"/>
          <w:szCs w:val="32"/>
        </w:rPr>
        <w:t>本部门2019年度一般公共预算财政拨款收入573.36万元，完成年初预算的114.45%，比年初预算增加72.4万元，决算数大于预算数主要原因是追加项目，人员增加，本年支出574.77万元，完成年初预算的114.73%，比年初预算增加  73.81万元，决策数大于预算数主要原因是项目增加人员增加。</w:t>
      </w:r>
    </w:p>
    <w:p>
      <w:pPr>
        <w:adjustRightInd w:val="0"/>
        <w:snapToGrid w:val="0"/>
        <w:spacing w:line="580" w:lineRule="exact"/>
        <w:ind w:firstLine="640" w:firstLineChars="200"/>
        <w:rPr>
          <w:rFonts w:ascii="仿宋_GB2312" w:eastAsia="仿宋_GB2312" w:hAnsi="Times New Roman" w:cs="DengXian-Regular"/>
          <w:sz w:val="32"/>
          <w:szCs w:val="32"/>
          <w:highlight w:val="yellow"/>
        </w:rPr>
      </w:pPr>
      <w:r>
        <w:drawing>
          <wp:anchor distT="0" distB="0" distL="114300" distR="114300" simplePos="0" relativeHeight="251682816" behindDoc="0" locked="0" layoutInCell="1" allowOverlap="1">
            <wp:simplePos x="0" y="0"/>
            <wp:positionH relativeFrom="column">
              <wp:posOffset>422275</wp:posOffset>
            </wp:positionH>
            <wp:positionV relativeFrom="paragraph">
              <wp:posOffset>59055</wp:posOffset>
            </wp:positionV>
            <wp:extent cx="4569460" cy="2736850"/>
            <wp:effectExtent l="4445" t="4445" r="17145" b="20955"/>
            <wp:wrapTopAndBottom/>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numPr>
          <w:ilvl w:val="0"/>
          <w:numId w:val="1"/>
        </w:numPr>
        <w:adjustRightInd w:val="0"/>
        <w:snapToGrid w:val="0"/>
        <w:spacing w:line="580" w:lineRule="exact"/>
        <w:ind w:left="420" w:leftChars="20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pPr>
        <w:numPr>
          <w:ilvl w:val="0"/>
          <w:numId w:val="1"/>
        </w:num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年度财政拨款支出575.09万元，主要用于以下方面：行政运行支出506.89，占88%； 社会保障和就业支出45.40万元，占7.8%。住房保障支出14.94万元，占38%。</w:t>
      </w:r>
    </w:p>
    <w:p>
      <w:pPr>
        <w:adjustRightInd w:val="0"/>
        <w:snapToGrid w:val="0"/>
        <w:spacing w:line="580" w:lineRule="exact"/>
        <w:ind w:left="420" w:leftChars="200"/>
        <w:rPr>
          <w:rFonts w:ascii="楷体_GB2312" w:eastAsia="楷体_GB2312" w:hAnsi="Times New Roman" w:cs="DengXian-Bold"/>
          <w:b/>
          <w:bCs/>
          <w:sz w:val="32"/>
          <w:szCs w:val="32"/>
        </w:rPr>
      </w:pPr>
    </w:p>
    <w:p>
      <w:pPr>
        <w:adjustRightInd w:val="0"/>
        <w:snapToGrid w:val="0"/>
        <w:spacing w:line="580" w:lineRule="exact"/>
        <w:ind w:left="420" w:leftChars="200"/>
        <w:rPr>
          <w:rFonts w:ascii="楷体_GB2312" w:eastAsia="楷体_GB2312" w:hAnsi="Times New Roman" w:cs="DengXian-Bold"/>
          <w:b/>
          <w:bCs/>
          <w:sz w:val="32"/>
          <w:szCs w:val="32"/>
        </w:rPr>
      </w:pPr>
    </w:p>
    <w:p>
      <w:pPr>
        <w:adjustRightInd w:val="0"/>
        <w:snapToGrid w:val="0"/>
        <w:spacing w:line="580" w:lineRule="exact"/>
        <w:rPr>
          <w:rFonts w:ascii="楷体_GB2312" w:eastAsia="楷体_GB2312" w:hAnsi="Times New Roman" w:cs="DengXian-Bold"/>
          <w:b/>
          <w:bCs/>
          <w:sz w:val="32"/>
          <w:szCs w:val="32"/>
        </w:rPr>
      </w:pPr>
      <w:r>
        <w:drawing>
          <wp:anchor distT="0" distB="0" distL="114300" distR="114300" simplePos="0" relativeHeight="251683840" behindDoc="0" locked="0" layoutInCell="1" allowOverlap="1">
            <wp:simplePos x="0" y="0"/>
            <wp:positionH relativeFrom="column">
              <wp:posOffset>676275</wp:posOffset>
            </wp:positionH>
            <wp:positionV relativeFrom="paragraph">
              <wp:posOffset>-968375</wp:posOffset>
            </wp:positionV>
            <wp:extent cx="3893185" cy="2624455"/>
            <wp:effectExtent l="4445" t="4445" r="7620" b="19050"/>
            <wp:wrapTopAndBottom/>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djustRightInd w:val="0"/>
        <w:snapToGrid w:val="0"/>
        <w:spacing w:line="580" w:lineRule="exact"/>
        <w:rPr>
          <w:rFonts w:ascii="楷体_GB2312" w:eastAsia="楷体_GB2312" w:hAnsi="Times New Roman" w:cs="DengXian-Bold"/>
          <w:b/>
          <w:bCs/>
          <w:sz w:val="32"/>
          <w:szCs w:val="32"/>
        </w:rPr>
      </w:pPr>
    </w:p>
    <w:p>
      <w:pPr>
        <w:adjustRightInd w:val="0"/>
        <w:snapToGrid w:val="0"/>
        <w:spacing w:line="580" w:lineRule="exact"/>
        <w:ind w:left="420" w:leftChars="20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年度财政拨款基本支出574.77万元，其中：人员经费</w:t>
      </w:r>
      <w:r>
        <w:rPr>
          <w:rFonts w:ascii="仿宋_GB2312" w:eastAsia="仿宋_GB2312" w:hAnsi="Times New Roman" w:cs="DengXian-Regular"/>
          <w:sz w:val="32"/>
          <w:szCs w:val="32"/>
        </w:rPr>
        <w:t xml:space="preserve"> </w:t>
      </w:r>
      <w:r>
        <w:rPr>
          <w:rFonts w:ascii="仿宋_GB2312" w:eastAsia="仿宋_GB2312" w:hAnsi="Times New Roman" w:cs="DengXian-Regular" w:hint="eastAsia"/>
          <w:sz w:val="32"/>
          <w:szCs w:val="32"/>
        </w:rPr>
        <w:t>401.43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173.34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hAnsi="Calibri"/>
          <w:sz w:val="32"/>
          <w:szCs w:val="32"/>
        </w:rPr>
      </w:pPr>
      <w:r>
        <w:rPr>
          <w:rFonts w:ascii="黑体" w:eastAsia="黑体" w:hAnsi="Calibri" w:hint="eastAsia"/>
          <w:sz w:val="32"/>
          <w:szCs w:val="32"/>
        </w:rPr>
        <w:t>五、一般公共预算“三公”</w:t>
      </w:r>
      <w:r>
        <w:rPr>
          <w:rFonts w:ascii="黑体" w:eastAsia="黑体" w:hAnsi="Calibri"/>
          <w:sz w:val="32"/>
          <w:szCs w:val="32"/>
        </w:rPr>
        <w:t xml:space="preserve"> </w:t>
      </w:r>
      <w:r>
        <w:rPr>
          <w:rFonts w:ascii="黑体" w:eastAsia="黑体" w:hAnsi="Calibri" w:hint="eastAsia"/>
          <w:sz w:val="32"/>
          <w:szCs w:val="32"/>
        </w:rPr>
        <w:t>经费支出决算情况说明</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年度“三公”经费支出共计4.46万元，完成预算的77.70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较预算减少1.28万元，减少22.30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，主要是认真贯彻落实中央八项规定精神和厉行节约要求，从严控制“三公”经费；较</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年度减少1.15万元，降低20.52</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，主要是认真贯彻落实中央八项规定精神和厉行节约要求，从严控制“三公”经费开支，全年实际支出比预算有所节约。具体情况如下：</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Pr>
          <w:rFonts w:ascii="楷体_GB2312" w:eastAsia="楷体_GB2312" w:hAnsi="Times New Roman" w:cs="DengXian-Bold"/>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年度因公出国（境）团组0个、共0人</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参加其他单位组织的因公出国（境）团组0个、共0人</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无本单位组织的出国（境）团组。</w:t>
      </w:r>
      <w:r>
        <w:rPr>
          <w:rFonts w:ascii="仿宋_GB2312" w:eastAsia="仿宋_GB2312" w:hAnsi="Times New Roman" w:cs="DengXian-Regular"/>
          <w:sz w:val="32"/>
          <w:szCs w:val="32"/>
        </w:rPr>
        <w:t>未</w:t>
      </w:r>
      <w:bookmarkStart w:id="0" w:name="_GoBack"/>
      <w:bookmarkEnd w:id="0"/>
      <w:r>
        <w:rPr>
          <w:rFonts w:ascii="仿宋_GB2312" w:eastAsia="仿宋_GB2312" w:hAnsi="Times New Roman" w:cs="DengXian-Regular"/>
          <w:sz w:val="32"/>
          <w:szCs w:val="32"/>
        </w:rPr>
        <w:t>发生“因公出国（境）”经费支出与年初预算持平、与 2018 年度决算支出持平</w:t>
      </w:r>
      <w:r>
        <w:rPr>
          <w:rFonts w:ascii="仿宋_GB2312" w:eastAsia="仿宋_GB2312" w:hAnsi="Times New Roman" w:cs="DengXian-Regular" w:hint="eastAsia"/>
          <w:sz w:val="32"/>
          <w:szCs w:val="32"/>
        </w:rPr>
        <w:t>。</w:t>
      </w:r>
    </w:p>
    <w:p>
      <w:pPr>
        <w:adjustRightInd w:val="0"/>
        <w:snapToGrid w:val="0"/>
        <w:spacing w:line="580" w:lineRule="exact"/>
        <w:ind w:firstLine="640" w:firstLineChars="20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（二）公务用车购置及运行维护费支出4.22万元。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年度公务用车购置及运行维护费较预算减少0.08万元，降低1.86</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主要是认真贯彻落实中央八项规定精神和厉行节约要求，从严控制“三公”经费开支，全年实际支出比预算有所节约；较上年减少1.17万元，降低21.74</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主要是认真贯彻落实中央八项规定精神和厉行节约要求，从严控制“三公”经费开支，全年实际支出比预算有所节约。</w:t>
      </w:r>
      <w:r>
        <w:rPr>
          <w:rFonts w:ascii="仿宋_GB2312" w:eastAsia="仿宋_GB2312" w:hAnsi="Times New Roman" w:cs="DengXian-Bold" w:hint="eastAsia"/>
          <w:b/>
          <w:bCs/>
          <w:sz w:val="32"/>
          <w:szCs w:val="32"/>
        </w:rPr>
        <w:t>其中：</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万元。公务用车购置费支出较预算增加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主要是未发生公务用车购置支出；较上年增加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主要是未发生公务用车购置支出。</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年度单位公务用车保有量1辆。公车运行维护费支出较预算减少0.08万元，降低1.86</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主要是公车维护费用减少.较上年减少1.17万元，降低21.74</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，主要是公车维护费用减少.。</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（三）公务接待费支出0.24万元。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年度公务接待共6批次、48人次。公务接待费支出较预算减少1.2万元，降低83.33</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主要是认真贯彻落实中央八项规定精神和厉行节约要求，从严控制“三公”经费开支，全年实际支出比预算有所节约；较上年度增加0.02万元，增加9.29</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主要是上年基数太小，年度正常增长</w:t>
      </w:r>
    </w:p>
    <w:p>
      <w:pPr>
        <w:adjustRightInd w:val="0"/>
        <w:snapToGrid w:val="0"/>
        <w:spacing w:line="580" w:lineRule="exact"/>
        <w:ind w:firstLine="640" w:firstLineChars="200"/>
        <w:rPr>
          <w:rFonts w:ascii="黑体" w:eastAsia="黑体" w:hAnsi="Times New Roman"/>
          <w:sz w:val="32"/>
          <w:szCs w:val="40"/>
        </w:rPr>
      </w:pPr>
      <w:r>
        <w:rPr>
          <w:rFonts w:ascii="黑体" w:eastAsia="黑体" w:hAnsi="Times New Roman" w:hint="eastAsia"/>
          <w:sz w:val="32"/>
          <w:szCs w:val="40"/>
        </w:rPr>
        <w:t>六、预算绩效情况说明</w:t>
      </w:r>
    </w:p>
    <w:p>
      <w:pPr>
        <w:ind w:firstLine="640" w:firstLineChars="200"/>
        <w:jc w:val="left"/>
        <w:rPr>
          <w:rFonts w:ascii="仿宋" w:eastAsia="仿宋" w:hAnsi="仿宋"/>
          <w:b/>
          <w:bCs/>
          <w:sz w:val="32"/>
          <w:szCs w:val="32"/>
        </w:rPr>
      </w:pPr>
      <w:r>
        <w:rPr>
          <w:rFonts w:ascii="仿宋" w:eastAsia="仿宋" w:hAnsi="仿宋" w:hint="eastAsia"/>
          <w:b/>
          <w:bCs/>
          <w:sz w:val="32"/>
          <w:szCs w:val="32"/>
        </w:rPr>
        <w:t>（一）总体绩效目标：</w:t>
      </w:r>
    </w:p>
    <w:p>
      <w:pPr>
        <w:ind w:firstLine="640"/>
        <w:rPr>
          <w:rFonts w:ascii="仿宋" w:eastAsia="仿宋" w:hAnsi="仿宋"/>
          <w:sz w:val="32"/>
          <w:szCs w:val="32"/>
        </w:rPr>
      </w:pPr>
      <w:r>
        <w:rPr>
          <w:rFonts w:ascii="仿宋" w:eastAsia="仿宋" w:hAnsi="仿宋" w:hint="eastAsia"/>
          <w:sz w:val="32"/>
          <w:szCs w:val="32"/>
        </w:rPr>
        <w:t>坚持以习近平新时代中国特色社会主义思想为指导，深入贯彻党的十九大和十九届二中、三中、四中全会精神，贯彻落实中央、省、市政法工作会议以及县委全会精神，坚持党对政法工作的绝对领导，</w:t>
      </w:r>
      <w:r>
        <w:rPr>
          <w:rFonts w:ascii="仿宋" w:eastAsia="仿宋" w:hAnsi="仿宋" w:hint="eastAsia"/>
          <w:sz w:val="32"/>
          <w:szCs w:val="32"/>
        </w:rPr>
        <w:t>增强“四个意识”、坚定“四个自信”</w:t>
      </w:r>
      <w:r>
        <w:rPr>
          <w:rFonts w:ascii="仿宋" w:eastAsia="仿宋" w:hAnsi="仿宋" w:hint="eastAsia"/>
          <w:sz w:val="32"/>
          <w:szCs w:val="32"/>
        </w:rPr>
        <w:t>、做到“两个维护”，为建设新时代美丽丰宁创造安全的政治环境、稳定的社会环境、公正的法治环境、优质的服务环境。全力做好各敏感节点维护社会稳定工作、做好社会重大不稳定信息的上报、切实做好不稳定极端人员的排查稳控、做好金融风险类工作的隐患排查、提升防范工作水平。加强平安建设宣传。强化矛盾纠纷多元化解工作。加大力度推动综治中心规范化建设，打造平安创建品牌。深化扫黑除恶，督促有关单位建立长效机制。发挥“雪亮工程”科技防范作用。全力做好涉法涉诉信访工作。加强各政法机关信访队伍建设。完善规范化机制。认真履行党风廉政建设主体责任。认真落实“从优待警”待遇保障。抓好政法队伍建设工作，着力创建“四型”政法机关。</w:t>
      </w:r>
    </w:p>
    <w:p>
      <w:pPr>
        <w:ind w:firstLine="640"/>
        <w:rPr>
          <w:rFonts w:ascii="仿宋" w:eastAsia="仿宋" w:hAnsi="仿宋"/>
          <w:b/>
          <w:bCs/>
          <w:sz w:val="32"/>
          <w:szCs w:val="32"/>
        </w:rPr>
      </w:pPr>
      <w:r>
        <w:rPr>
          <w:rFonts w:ascii="仿宋" w:eastAsia="仿宋" w:hAnsi="仿宋" w:hint="eastAsia"/>
          <w:b/>
          <w:bCs/>
          <w:sz w:val="32"/>
          <w:szCs w:val="32"/>
        </w:rPr>
        <w:t>（二）分项绩效目标：</w:t>
      </w:r>
    </w:p>
    <w:p>
      <w:pPr>
        <w:spacing w:line="500" w:lineRule="exact"/>
        <w:ind w:firstLine="560"/>
        <w:rPr>
          <w:rFonts w:ascii="仿宋" w:eastAsia="仿宋" w:hAnsi="仿宋"/>
          <w:sz w:val="32"/>
          <w:szCs w:val="32"/>
        </w:rPr>
      </w:pPr>
      <w:r>
        <w:rPr>
          <w:rFonts w:ascii="仿宋" w:eastAsia="仿宋" w:hAnsi="仿宋" w:hint="eastAsia"/>
          <w:sz w:val="32"/>
          <w:szCs w:val="32"/>
        </w:rPr>
        <w:t>1、特困干警补助：落实从优待警政策，对干警困难资助资金审核把关，做好机关干部选学工作，抓好政法干警培养工作，培树优秀典型，推广典型经验，表彰奖励优秀政法干警。</w:t>
      </w:r>
    </w:p>
    <w:p>
      <w:pPr>
        <w:spacing w:line="500" w:lineRule="exact"/>
        <w:ind w:firstLine="560"/>
        <w:rPr>
          <w:rFonts w:ascii="仿宋" w:eastAsia="仿宋" w:hAnsi="仿宋"/>
          <w:sz w:val="32"/>
          <w:szCs w:val="32"/>
        </w:rPr>
      </w:pPr>
      <w:r>
        <w:rPr>
          <w:rFonts w:ascii="仿宋" w:eastAsia="仿宋" w:hAnsi="仿宋" w:hint="eastAsia"/>
          <w:sz w:val="32"/>
          <w:szCs w:val="32"/>
        </w:rPr>
        <w:t>2、司法救助金：协调落实涉法涉诉资金救助金额，指导政法部门认真申报，合理使用，对政法部门申报的救助金进行审查，提出审批意见。</w:t>
      </w:r>
    </w:p>
    <w:p>
      <w:pPr>
        <w:spacing w:line="500" w:lineRule="exact"/>
        <w:ind w:firstLine="560"/>
        <w:rPr>
          <w:rFonts w:ascii="仿宋" w:eastAsia="仿宋" w:hAnsi="仿宋"/>
          <w:sz w:val="32"/>
          <w:szCs w:val="32"/>
        </w:rPr>
      </w:pPr>
      <w:r>
        <w:rPr>
          <w:rFonts w:ascii="仿宋" w:eastAsia="仿宋" w:hAnsi="仿宋" w:hint="eastAsia"/>
          <w:sz w:val="32"/>
          <w:szCs w:val="32"/>
        </w:rPr>
        <w:t>3、防范工作经费：用于防范和处理邪教工作</w:t>
      </w:r>
    </w:p>
    <w:p>
      <w:pPr>
        <w:spacing w:line="500" w:lineRule="exact"/>
        <w:ind w:firstLine="560"/>
        <w:rPr>
          <w:rFonts w:ascii="仿宋" w:eastAsia="仿宋" w:hAnsi="仿宋"/>
          <w:sz w:val="32"/>
          <w:szCs w:val="32"/>
        </w:rPr>
      </w:pPr>
      <w:r>
        <w:rPr>
          <w:rFonts w:ascii="仿宋" w:eastAsia="仿宋" w:hAnsi="仿宋" w:hint="eastAsia"/>
          <w:sz w:val="32"/>
          <w:szCs w:val="32"/>
        </w:rPr>
        <w:t>4、政法网光纤租赁、维护费和综治视联网建设：光纤节点租赁费，维护政法网光纤线路，对网络结构及宽带资源进行管理、规划。组织指导建设全县综治视联网建设工作。</w:t>
      </w:r>
    </w:p>
    <w:p>
      <w:pPr>
        <w:spacing w:line="500" w:lineRule="exact"/>
        <w:ind w:firstLine="560"/>
        <w:rPr>
          <w:rFonts w:ascii="仿宋" w:eastAsia="仿宋" w:hAnsi="仿宋"/>
          <w:sz w:val="32"/>
          <w:szCs w:val="32"/>
        </w:rPr>
      </w:pPr>
      <w:r>
        <w:rPr>
          <w:rFonts w:ascii="仿宋" w:eastAsia="仿宋" w:hAnsi="仿宋" w:hint="eastAsia"/>
          <w:sz w:val="32"/>
          <w:szCs w:val="32"/>
        </w:rPr>
        <w:t>5、平安建设工作：平安建设工作的规划设计、工作部署、组织协调、督导指导、检查考评等工作。</w:t>
      </w:r>
    </w:p>
    <w:p>
      <w:pPr>
        <w:spacing w:line="500" w:lineRule="exact"/>
        <w:ind w:firstLine="560"/>
        <w:rPr>
          <w:rFonts w:ascii="仿宋" w:eastAsia="仿宋" w:hAnsi="仿宋"/>
          <w:sz w:val="32"/>
          <w:szCs w:val="32"/>
        </w:rPr>
      </w:pPr>
      <w:r>
        <w:rPr>
          <w:rFonts w:ascii="仿宋" w:eastAsia="仿宋" w:hAnsi="仿宋" w:hint="eastAsia"/>
          <w:sz w:val="32"/>
          <w:szCs w:val="32"/>
        </w:rPr>
        <w:t>6、特殊人群众管控精神障碍患者责任险：共精神障碍患者1545人，按照1人100块钱</w:t>
      </w:r>
    </w:p>
    <w:p>
      <w:pPr>
        <w:spacing w:line="500" w:lineRule="exact"/>
        <w:ind w:firstLine="560"/>
        <w:rPr>
          <w:rFonts w:ascii="仿宋" w:eastAsia="仿宋" w:hAnsi="仿宋"/>
          <w:sz w:val="32"/>
          <w:szCs w:val="32"/>
        </w:rPr>
      </w:pPr>
      <w:r>
        <w:rPr>
          <w:rFonts w:ascii="仿宋" w:eastAsia="仿宋" w:hAnsi="仿宋" w:hint="eastAsia"/>
          <w:sz w:val="32"/>
          <w:szCs w:val="32"/>
        </w:rPr>
        <w:t>7、精神障碍患者智能手环：对全县1545名精神病患者实施承保及配备智能手环。</w:t>
      </w:r>
    </w:p>
    <w:p>
      <w:pPr>
        <w:spacing w:line="500" w:lineRule="exact"/>
        <w:ind w:firstLine="560"/>
        <w:rPr>
          <w:rFonts w:ascii="仿宋" w:eastAsia="仿宋" w:hAnsi="仿宋"/>
          <w:sz w:val="32"/>
          <w:szCs w:val="32"/>
        </w:rPr>
      </w:pPr>
      <w:r>
        <w:rPr>
          <w:rFonts w:ascii="仿宋" w:eastAsia="仿宋" w:hAnsi="仿宋" w:hint="eastAsia"/>
          <w:sz w:val="32"/>
          <w:szCs w:val="32"/>
        </w:rPr>
        <w:t>8、见义勇为：见义勇为工作推延伸。奖励、慰问、宣传见义勇为人员，形成全社会风清气正的正能量</w:t>
      </w:r>
    </w:p>
    <w:p>
      <w:pPr>
        <w:spacing w:line="500" w:lineRule="exact"/>
        <w:ind w:firstLine="560"/>
        <w:rPr>
          <w:rFonts w:ascii="仿宋" w:eastAsia="仿宋" w:hAnsi="仿宋"/>
          <w:sz w:val="32"/>
          <w:szCs w:val="32"/>
        </w:rPr>
      </w:pPr>
      <w:r>
        <w:rPr>
          <w:rFonts w:ascii="仿宋" w:eastAsia="仿宋" w:hAnsi="仿宋" w:hint="eastAsia"/>
          <w:sz w:val="32"/>
          <w:szCs w:val="32"/>
        </w:rPr>
        <w:t>9、扫黑除恶：组织协调全县扫黑除恶专项斗争工作。强化督导检查。加强宣传造势，形成浓厚氛围。协调组织，培树典型。</w:t>
      </w:r>
    </w:p>
    <w:p>
      <w:pPr>
        <w:spacing w:line="500" w:lineRule="exact"/>
        <w:ind w:firstLine="560"/>
        <w:rPr>
          <w:rFonts w:ascii="仿宋" w:eastAsia="仿宋" w:hAnsi="仿宋"/>
          <w:sz w:val="32"/>
          <w:szCs w:val="32"/>
        </w:rPr>
      </w:pPr>
      <w:r>
        <w:rPr>
          <w:rFonts w:ascii="仿宋" w:eastAsia="仿宋" w:hAnsi="仿宋" w:hint="eastAsia"/>
          <w:sz w:val="32"/>
          <w:szCs w:val="32"/>
        </w:rPr>
        <w:t>10、视联网运营：乡村视联网建成，按时升级软件，强化数字实时统计。为雪亮工程提供基础设施，以基础数据提升雪亮工程实效。</w:t>
      </w:r>
    </w:p>
    <w:p>
      <w:pPr>
        <w:spacing w:line="500" w:lineRule="exact"/>
        <w:ind w:firstLine="560"/>
        <w:rPr>
          <w:rFonts w:ascii="仿宋" w:eastAsia="仿宋" w:hAnsi="仿宋"/>
          <w:sz w:val="32"/>
          <w:szCs w:val="32"/>
        </w:rPr>
      </w:pPr>
      <w:r>
        <w:rPr>
          <w:rFonts w:ascii="仿宋" w:eastAsia="仿宋" w:hAnsi="仿宋" w:hint="eastAsia"/>
          <w:sz w:val="32"/>
          <w:szCs w:val="32"/>
        </w:rPr>
        <w:t>11、治安财产保险：推动农村治安财产保险全覆盖，减轻农民经济损失，减少社会矛盾。</w:t>
      </w:r>
    </w:p>
    <w:p>
      <w:pPr>
        <w:rPr>
          <w:rFonts w:ascii="仿宋" w:eastAsia="仿宋" w:hAnsi="仿宋"/>
          <w:b/>
          <w:bCs/>
          <w:sz w:val="32"/>
          <w:szCs w:val="32"/>
        </w:rPr>
      </w:pPr>
      <w:r>
        <w:rPr>
          <w:rFonts w:ascii="仿宋" w:eastAsia="仿宋" w:hAnsi="仿宋" w:hint="eastAsia"/>
          <w:sz w:val="32"/>
          <w:szCs w:val="32"/>
        </w:rPr>
        <w:t xml:space="preserve">     </w:t>
      </w:r>
      <w:r>
        <w:rPr>
          <w:rFonts w:ascii="仿宋" w:eastAsia="仿宋" w:hAnsi="仿宋" w:hint="eastAsia"/>
          <w:b/>
          <w:bCs/>
          <w:sz w:val="32"/>
          <w:szCs w:val="32"/>
        </w:rPr>
        <w:t>（三）工作保障措施</w:t>
      </w:r>
    </w:p>
    <w:p>
      <w:pPr>
        <w:ind w:firstLine="640"/>
        <w:rPr>
          <w:rFonts w:ascii="仿宋" w:eastAsia="仿宋" w:hAnsi="仿宋"/>
          <w:sz w:val="32"/>
          <w:szCs w:val="32"/>
        </w:rPr>
      </w:pPr>
      <w:r>
        <w:rPr>
          <w:rFonts w:ascii="仿宋" w:eastAsia="仿宋" w:hAnsi="仿宋" w:hint="eastAsia"/>
          <w:sz w:val="32"/>
          <w:szCs w:val="32"/>
        </w:rPr>
        <w:t>1.完善</w:t>
      </w:r>
      <w:r>
        <w:rPr>
          <w:rFonts w:ascii="宋体" w:hAnsi="宋体" w:hint="eastAsia"/>
          <w:sz w:val="32"/>
          <w:szCs w:val="32"/>
        </w:rPr>
        <w:t>“</w:t>
      </w:r>
      <w:r>
        <w:rPr>
          <w:rFonts w:ascii="仿宋" w:eastAsia="仿宋" w:hAnsi="仿宋" w:hint="eastAsia"/>
          <w:sz w:val="32"/>
          <w:szCs w:val="32"/>
        </w:rPr>
        <w:t>雪亮工程</w:t>
      </w:r>
      <w:r>
        <w:rPr>
          <w:rFonts w:ascii="宋体" w:hAnsi="宋体" w:hint="eastAsia"/>
          <w:sz w:val="32"/>
          <w:szCs w:val="32"/>
        </w:rPr>
        <w:t>”</w:t>
      </w:r>
      <w:r>
        <w:rPr>
          <w:rFonts w:ascii="仿宋" w:eastAsia="仿宋" w:hAnsi="仿宋" w:hint="eastAsia"/>
          <w:sz w:val="32"/>
          <w:szCs w:val="32"/>
        </w:rPr>
        <w:t>的建设。按照</w:t>
      </w:r>
      <w:r>
        <w:rPr>
          <w:rFonts w:ascii="宋体" w:hAnsi="宋体" w:hint="eastAsia"/>
          <w:sz w:val="32"/>
          <w:szCs w:val="32"/>
        </w:rPr>
        <w:t>“</w:t>
      </w:r>
      <w:r>
        <w:rPr>
          <w:rFonts w:ascii="仿宋" w:eastAsia="仿宋" w:hAnsi="仿宋" w:hint="eastAsia"/>
          <w:sz w:val="32"/>
          <w:szCs w:val="32"/>
        </w:rPr>
        <w:t>实战、实用、实效</w:t>
      </w:r>
      <w:r>
        <w:rPr>
          <w:rFonts w:ascii="宋体" w:hAnsi="宋体" w:hint="eastAsia"/>
          <w:sz w:val="32"/>
          <w:szCs w:val="32"/>
        </w:rPr>
        <w:t>”</w:t>
      </w:r>
      <w:r>
        <w:rPr>
          <w:rFonts w:ascii="仿宋" w:eastAsia="仿宋" w:hAnsi="仿宋" w:hint="eastAsia"/>
          <w:sz w:val="32"/>
          <w:szCs w:val="32"/>
        </w:rPr>
        <w:t>的标准,以用促建、以用促管,充分运用视频分析、人脸识别、语音识别、人流统计、以图搜图等人工智能技术,在各级综治中心建立</w:t>
      </w:r>
      <w:r>
        <w:rPr>
          <w:rFonts w:ascii="宋体" w:hAnsi="宋体" w:hint="eastAsia"/>
          <w:sz w:val="32"/>
          <w:szCs w:val="32"/>
        </w:rPr>
        <w:t>“</w:t>
      </w:r>
      <w:r>
        <w:rPr>
          <w:rFonts w:ascii="仿宋" w:eastAsia="仿宋" w:hAnsi="仿宋" w:hint="eastAsia"/>
          <w:sz w:val="32"/>
          <w:szCs w:val="32"/>
        </w:rPr>
        <w:t>综治大脑</w:t>
      </w:r>
      <w:r>
        <w:rPr>
          <w:rFonts w:ascii="宋体" w:hAnsi="宋体" w:hint="eastAsia"/>
          <w:sz w:val="32"/>
          <w:szCs w:val="32"/>
        </w:rPr>
        <w:t>”</w:t>
      </w:r>
      <w:r>
        <w:rPr>
          <w:rFonts w:ascii="仿宋" w:eastAsia="仿宋" w:hAnsi="仿宋" w:hint="eastAsia"/>
          <w:sz w:val="32"/>
          <w:szCs w:val="32"/>
        </w:rPr>
        <w:t>,推动数字综治建设。要按照全县统一规划推进项目建设,逐步有序完成政法网四、五级扩容(即乡镇、村居点位扩容)、乡镇(街办)、村居</w:t>
      </w:r>
      <w:r>
        <w:rPr>
          <w:rFonts w:ascii="宋体" w:hAnsi="宋体" w:hint="eastAsia"/>
          <w:sz w:val="32"/>
          <w:szCs w:val="32"/>
        </w:rPr>
        <w:t>“</w:t>
      </w:r>
      <w:r>
        <w:rPr>
          <w:rFonts w:ascii="仿宋" w:eastAsia="仿宋" w:hAnsi="仿宋" w:hint="eastAsia"/>
          <w:sz w:val="32"/>
          <w:szCs w:val="32"/>
        </w:rPr>
        <w:t>雪亮护城河</w:t>
      </w:r>
      <w:r>
        <w:rPr>
          <w:rFonts w:ascii="宋体" w:hAnsi="宋体" w:hint="eastAsia"/>
          <w:sz w:val="32"/>
          <w:szCs w:val="32"/>
        </w:rPr>
        <w:t>”</w:t>
      </w:r>
      <w:r>
        <w:rPr>
          <w:rFonts w:ascii="仿宋" w:eastAsia="仿宋" w:hAnsi="仿宋" w:hint="eastAsia"/>
          <w:sz w:val="32"/>
          <w:szCs w:val="32"/>
        </w:rPr>
        <w:t>分平台建设,接入综治视联、综治信息系统，重点行业、领域的重要部位视频监控覆盖率达到100%,重点公共区域视频监控覆盖率和新建高清摄像机比例达到100%、联网率达到100%、完好率达到98%,并全部接入</w:t>
      </w:r>
      <w:r>
        <w:rPr>
          <w:rFonts w:ascii="宋体" w:hAnsi="宋体" w:hint="eastAsia"/>
          <w:sz w:val="32"/>
          <w:szCs w:val="32"/>
        </w:rPr>
        <w:t>“</w:t>
      </w:r>
      <w:r>
        <w:rPr>
          <w:rFonts w:ascii="仿宋" w:eastAsia="仿宋" w:hAnsi="仿宋" w:hint="eastAsia"/>
          <w:sz w:val="32"/>
          <w:szCs w:val="32"/>
        </w:rPr>
        <w:t>雪亮护城河</w:t>
      </w:r>
      <w:r>
        <w:rPr>
          <w:rFonts w:ascii="宋体" w:hAnsi="宋体" w:hint="eastAsia"/>
          <w:sz w:val="32"/>
          <w:szCs w:val="32"/>
        </w:rPr>
        <w:t>”</w:t>
      </w:r>
      <w:r>
        <w:rPr>
          <w:rFonts w:ascii="仿宋" w:eastAsia="仿宋" w:hAnsi="仿宋" w:hint="eastAsia"/>
          <w:sz w:val="32"/>
          <w:szCs w:val="32"/>
        </w:rPr>
        <w:t>信息平台,对未接入的单位或部门,在2019年平安建设奖励考核时,从总分扣除相应分数。</w:t>
      </w:r>
    </w:p>
    <w:p>
      <w:pPr>
        <w:ind w:firstLine="640"/>
        <w:rPr>
          <w:rFonts w:ascii="仿宋" w:eastAsia="仿宋" w:hAnsi="仿宋"/>
          <w:sz w:val="32"/>
          <w:szCs w:val="32"/>
        </w:rPr>
      </w:pPr>
      <w:r>
        <w:rPr>
          <w:rFonts w:ascii="仿宋" w:eastAsia="仿宋" w:hAnsi="仿宋" w:hint="eastAsia"/>
          <w:sz w:val="32"/>
          <w:szCs w:val="32"/>
        </w:rPr>
        <w:t>2. 继续完善</w:t>
      </w:r>
      <w:r>
        <w:rPr>
          <w:rFonts w:ascii="宋体" w:hAnsi="宋体" w:hint="eastAsia"/>
          <w:sz w:val="32"/>
          <w:szCs w:val="32"/>
        </w:rPr>
        <w:t>“</w:t>
      </w:r>
      <w:r>
        <w:rPr>
          <w:rFonts w:ascii="仿宋" w:eastAsia="仿宋" w:hAnsi="仿宋" w:hint="eastAsia"/>
          <w:sz w:val="32"/>
          <w:szCs w:val="32"/>
        </w:rPr>
        <w:t>9+X</w:t>
      </w:r>
      <w:r>
        <w:rPr>
          <w:rFonts w:ascii="宋体" w:hAnsi="宋体" w:hint="eastAsia"/>
          <w:sz w:val="32"/>
          <w:szCs w:val="32"/>
        </w:rPr>
        <w:t>”</w:t>
      </w:r>
      <w:r>
        <w:rPr>
          <w:rFonts w:ascii="仿宋" w:eastAsia="仿宋" w:hAnsi="仿宋" w:hint="eastAsia"/>
          <w:sz w:val="32"/>
          <w:szCs w:val="32"/>
        </w:rPr>
        <w:t>工作模块架构,努力实现政法综治专业数据、政府部门管理数据、公共服务机构业务数据、互联网数据的集成应用,6月底前,搭建县级</w:t>
      </w:r>
      <w:r>
        <w:rPr>
          <w:rFonts w:ascii="宋体" w:hAnsi="宋体" w:hint="eastAsia"/>
          <w:sz w:val="32"/>
          <w:szCs w:val="32"/>
        </w:rPr>
        <w:t>“</w:t>
      </w:r>
      <w:r>
        <w:rPr>
          <w:rFonts w:ascii="仿宋" w:eastAsia="仿宋" w:hAnsi="仿宋" w:hint="eastAsia"/>
          <w:sz w:val="32"/>
          <w:szCs w:val="32"/>
        </w:rPr>
        <w:t>平安云</w:t>
      </w:r>
      <w:r>
        <w:rPr>
          <w:rFonts w:ascii="宋体" w:hAnsi="宋体" w:hint="eastAsia"/>
          <w:sz w:val="32"/>
          <w:szCs w:val="32"/>
        </w:rPr>
        <w:t>”</w:t>
      </w:r>
      <w:r>
        <w:rPr>
          <w:rFonts w:ascii="仿宋" w:eastAsia="仿宋" w:hAnsi="仿宋" w:hint="eastAsia"/>
          <w:sz w:val="32"/>
          <w:szCs w:val="32"/>
        </w:rPr>
        <w:t>,部署综治信息系统平台,提高社会治理智能化水平。加强基础数据信息采集工作,10月底前,利用政务外网实现中央、省、市、县、乡、村六级互联互通。推动综治成员单位使用综治</w:t>
      </w:r>
      <w:r>
        <w:rPr>
          <w:rFonts w:ascii="宋体" w:hAnsi="宋体" w:hint="eastAsia"/>
          <w:sz w:val="32"/>
          <w:szCs w:val="32"/>
        </w:rPr>
        <w:t>“</w:t>
      </w:r>
      <w:r>
        <w:rPr>
          <w:rFonts w:ascii="仿宋" w:eastAsia="仿宋" w:hAnsi="仿宋" w:hint="eastAsia"/>
          <w:sz w:val="32"/>
          <w:szCs w:val="32"/>
        </w:rPr>
        <w:t>9+X</w:t>
      </w:r>
      <w:r>
        <w:rPr>
          <w:rFonts w:ascii="宋体" w:hAnsi="宋体" w:hint="eastAsia"/>
          <w:sz w:val="32"/>
          <w:szCs w:val="32"/>
        </w:rPr>
        <w:t>”</w:t>
      </w:r>
      <w:r>
        <w:rPr>
          <w:rFonts w:ascii="仿宋" w:eastAsia="仿宋" w:hAnsi="仿宋" w:hint="eastAsia"/>
          <w:sz w:val="32"/>
          <w:szCs w:val="32"/>
        </w:rPr>
        <w:t>信息系统采集录入信息,推动网格员使用手机APP上报信息。12月底前,完成刑满释放、社区矫正吸毒人员、重点青少年、信访重点人等重点入群基础数据录入工作,数据录入率和准确率达到100%。建立人民调解数据库,完善人民调解信息系统建设。</w:t>
      </w:r>
    </w:p>
    <w:p>
      <w:pPr>
        <w:ind w:firstLine="640"/>
        <w:rPr>
          <w:rFonts w:ascii="仿宋" w:eastAsia="仿宋" w:hAnsi="仿宋"/>
          <w:sz w:val="32"/>
          <w:szCs w:val="32"/>
        </w:rPr>
      </w:pPr>
      <w:r>
        <w:rPr>
          <w:rFonts w:ascii="仿宋" w:eastAsia="仿宋" w:hAnsi="仿宋" w:hint="eastAsia"/>
          <w:sz w:val="32"/>
          <w:szCs w:val="32"/>
        </w:rPr>
        <w:t>3.加快综治视联网建设。按照县里统一规划，推动综治视联网向乡镇(街道)村(社区)等基层单位和家庭延伸覆盖。推动公共安全视频监控系统与综治视联网对接,并于中央平台直连直通,尽快实现视频会议、视频监控、视频通讯、视频培训、视频点播、视频调解视频信访、视频调研、信息发布等多元化功能。</w:t>
      </w:r>
    </w:p>
    <w:p>
      <w:pPr>
        <w:spacing w:line="600" w:lineRule="exact"/>
        <w:ind w:firstLine="640"/>
        <w:rPr>
          <w:rFonts w:ascii="仿宋" w:eastAsia="仿宋" w:hAnsi="仿宋"/>
          <w:sz w:val="32"/>
          <w:szCs w:val="32"/>
        </w:rPr>
      </w:pPr>
      <w:r>
        <w:rPr>
          <w:rFonts w:ascii="仿宋" w:eastAsia="仿宋" w:hAnsi="仿宋" w:hint="eastAsia"/>
          <w:sz w:val="32"/>
          <w:szCs w:val="32"/>
        </w:rPr>
        <w:t>4.深入推进严重精神障碍患者服务管理。开展</w:t>
      </w:r>
      <w:r>
        <w:rPr>
          <w:rFonts w:ascii="宋体" w:hAnsi="宋体" w:hint="eastAsia"/>
          <w:sz w:val="32"/>
          <w:szCs w:val="32"/>
        </w:rPr>
        <w:t>“</w:t>
      </w:r>
      <w:r>
        <w:rPr>
          <w:rFonts w:ascii="仿宋" w:eastAsia="仿宋" w:hAnsi="仿宋" w:hint="eastAsia"/>
          <w:sz w:val="32"/>
          <w:szCs w:val="32"/>
        </w:rPr>
        <w:t>清查</w:t>
      </w:r>
      <w:r>
        <w:rPr>
          <w:rFonts w:ascii="宋体" w:hAnsi="宋体" w:hint="eastAsia"/>
          <w:sz w:val="32"/>
          <w:szCs w:val="32"/>
        </w:rPr>
        <w:t>”</w:t>
      </w:r>
      <w:r>
        <w:rPr>
          <w:rFonts w:ascii="仿宋" w:eastAsia="仿宋" w:hAnsi="仿宋" w:hint="eastAsia"/>
          <w:sz w:val="32"/>
          <w:szCs w:val="32"/>
        </w:rPr>
        <w:t>专项行动,确保做到</w:t>
      </w:r>
      <w:r>
        <w:rPr>
          <w:rFonts w:ascii="宋体" w:hAnsi="宋体" w:hint="eastAsia"/>
          <w:sz w:val="32"/>
          <w:szCs w:val="32"/>
        </w:rPr>
        <w:t>“</w:t>
      </w:r>
      <w:r>
        <w:rPr>
          <w:rFonts w:ascii="仿宋" w:eastAsia="仿宋" w:hAnsi="仿宋" w:hint="eastAsia"/>
          <w:sz w:val="32"/>
          <w:szCs w:val="32"/>
        </w:rPr>
        <w:t>12个清</w:t>
      </w:r>
      <w:r>
        <w:rPr>
          <w:rFonts w:ascii="宋体" w:hAnsi="宋体" w:hint="eastAsia"/>
          <w:sz w:val="32"/>
          <w:szCs w:val="32"/>
        </w:rPr>
        <w:t>”</w:t>
      </w:r>
      <w:r>
        <w:rPr>
          <w:rFonts w:ascii="仿宋" w:eastAsia="仿宋" w:hAnsi="仿宋" w:hint="eastAsia"/>
          <w:sz w:val="32"/>
          <w:szCs w:val="32"/>
        </w:rPr>
        <w:t>(患者底数清、基本信息清、危险性登记清、服药管理情况清、监护人基本信息清、履职尽责清、以奖代补资金申请立项情况清、发放情况清、肇事肇祸及轻微滋事案事件情况清、强制医疗情况清、流浪乞讨、残疾人员患者底数清、救治救助情况清等)。推广使用</w:t>
      </w:r>
      <w:r>
        <w:rPr>
          <w:rFonts w:ascii="宋体" w:hAnsi="宋体" w:hint="eastAsia"/>
          <w:sz w:val="32"/>
          <w:szCs w:val="32"/>
        </w:rPr>
        <w:t>“</w:t>
      </w:r>
      <w:r>
        <w:rPr>
          <w:rFonts w:ascii="仿宋" w:eastAsia="仿宋" w:hAnsi="仿宋" w:hint="eastAsia"/>
          <w:sz w:val="32"/>
          <w:szCs w:val="32"/>
        </w:rPr>
        <w:t>河北省严重精神障碍患者服务管理智能系统</w:t>
      </w:r>
      <w:r>
        <w:rPr>
          <w:rFonts w:ascii="宋体" w:hAnsi="宋体" w:hint="eastAsia"/>
          <w:sz w:val="32"/>
          <w:szCs w:val="32"/>
        </w:rPr>
        <w:t>”</w:t>
      </w:r>
      <w:r>
        <w:rPr>
          <w:rFonts w:ascii="仿宋" w:eastAsia="仿宋" w:hAnsi="仿宋" w:hint="eastAsia"/>
          <w:sz w:val="32"/>
          <w:szCs w:val="32"/>
        </w:rPr>
        <w:t>,逐步形成严重精神障碍患者大数据。落实监护人</w:t>
      </w:r>
      <w:r>
        <w:rPr>
          <w:rFonts w:ascii="宋体" w:hAnsi="宋体" w:hint="eastAsia"/>
          <w:sz w:val="32"/>
          <w:szCs w:val="32"/>
        </w:rPr>
        <w:t>“</w:t>
      </w:r>
      <w:r>
        <w:rPr>
          <w:rFonts w:ascii="仿宋" w:eastAsia="仿宋" w:hAnsi="仿宋" w:hint="eastAsia"/>
          <w:sz w:val="32"/>
          <w:szCs w:val="32"/>
        </w:rPr>
        <w:t>以奖代补</w:t>
      </w:r>
      <w:r>
        <w:rPr>
          <w:rFonts w:ascii="宋体" w:hAnsi="宋体" w:hint="eastAsia"/>
          <w:sz w:val="32"/>
          <w:szCs w:val="32"/>
        </w:rPr>
        <w:t>”</w:t>
      </w:r>
      <w:r>
        <w:rPr>
          <w:rFonts w:ascii="仿宋" w:eastAsia="仿宋" w:hAnsi="仿宋" w:hint="eastAsia"/>
          <w:sz w:val="32"/>
          <w:szCs w:val="32"/>
        </w:rPr>
        <w:t>和责任险,加强资金保障,形成长效机制,实现全覆盖。</w:t>
      </w:r>
      <w:r>
        <w:rPr>
          <w:rFonts w:ascii="宋体" w:hAnsi="宋体" w:hint="eastAsia"/>
          <w:sz w:val="32"/>
          <w:szCs w:val="32"/>
        </w:rPr>
        <w:t>“</w:t>
      </w:r>
      <w:r>
        <w:rPr>
          <w:rFonts w:ascii="仿宋" w:eastAsia="仿宋" w:hAnsi="仿宋" w:hint="eastAsia"/>
          <w:sz w:val="32"/>
          <w:szCs w:val="32"/>
        </w:rPr>
        <w:t>以奖代补</w:t>
      </w:r>
      <w:r>
        <w:rPr>
          <w:rFonts w:ascii="宋体" w:hAnsi="宋体" w:hint="eastAsia"/>
          <w:sz w:val="32"/>
          <w:szCs w:val="32"/>
        </w:rPr>
        <w:t>”</w:t>
      </w:r>
      <w:r>
        <w:rPr>
          <w:rFonts w:ascii="仿宋" w:eastAsia="仿宋" w:hAnsi="仿宋" w:hint="eastAsia"/>
          <w:sz w:val="32"/>
          <w:szCs w:val="32"/>
        </w:rPr>
        <w:t>资金按季度发放到位,发生肇事肇祸案件及时启动赔付程序,推动为三级以下患者监护人发放补贴。依法做好强制医疗工作,坚决防止严重精神障碍患者私自外出到省进京,坚决防止滋事出丑事件。加大责任追究力度，凡发生严重精神障碍患者肇事肇祸案事件的,严格部门责任追究。凡发生强制医疗命案的乡镇,实行一票否决警示;发生2起及以上强制医疗命案的，由县级以上综治委实行一票否决。按照省规定,加大考核分值比重,每发生1起强制医疗命案扣3分,并纳入年度平安建设考评内容。</w:t>
      </w:r>
    </w:p>
    <w:p>
      <w:pPr>
        <w:spacing w:line="600" w:lineRule="exact"/>
        <w:ind w:firstLine="640"/>
        <w:rPr>
          <w:rFonts w:ascii="仿宋" w:eastAsia="仿宋" w:hAnsi="仿宋"/>
          <w:sz w:val="32"/>
          <w:szCs w:val="32"/>
        </w:rPr>
      </w:pPr>
      <w:r>
        <w:rPr>
          <w:rFonts w:ascii="仿宋" w:eastAsia="仿宋" w:hAnsi="仿宋" w:hint="eastAsia"/>
          <w:sz w:val="32"/>
          <w:szCs w:val="32"/>
        </w:rPr>
        <w:t>5.深入推进特殊人群服务管理。推进实有人口、实有房屋管理攻坚行动,建立动态化、信息化人口管理模式,信息采集率达到98%以上。深入落实</w:t>
      </w:r>
      <w:r>
        <w:rPr>
          <w:rFonts w:ascii="宋体" w:hAnsi="宋体" w:hint="eastAsia"/>
          <w:sz w:val="32"/>
          <w:szCs w:val="32"/>
        </w:rPr>
        <w:t>“</w:t>
      </w:r>
      <w:r>
        <w:rPr>
          <w:rFonts w:ascii="仿宋" w:eastAsia="仿宋" w:hAnsi="仿宋" w:hint="eastAsia"/>
          <w:sz w:val="32"/>
          <w:szCs w:val="32"/>
        </w:rPr>
        <w:t>居住证</w:t>
      </w:r>
      <w:r>
        <w:rPr>
          <w:rFonts w:ascii="宋体" w:hAnsi="宋体" w:hint="eastAsia"/>
          <w:sz w:val="32"/>
          <w:szCs w:val="32"/>
        </w:rPr>
        <w:t>”</w:t>
      </w:r>
      <w:r>
        <w:rPr>
          <w:rFonts w:ascii="仿宋" w:eastAsia="仿宋" w:hAnsi="仿宋" w:hint="eastAsia"/>
          <w:sz w:val="32"/>
          <w:szCs w:val="32"/>
        </w:rPr>
        <w:t>制度,深化居民身份证异地受理、挂失申报、丢失招领</w:t>
      </w:r>
      <w:r>
        <w:rPr>
          <w:rFonts w:ascii="宋体" w:hAnsi="宋体" w:hint="eastAsia"/>
          <w:sz w:val="32"/>
          <w:szCs w:val="32"/>
        </w:rPr>
        <w:t>“</w:t>
      </w:r>
      <w:r>
        <w:rPr>
          <w:rFonts w:ascii="仿宋" w:eastAsia="仿宋" w:hAnsi="仿宋" w:hint="eastAsia"/>
          <w:sz w:val="32"/>
          <w:szCs w:val="32"/>
        </w:rPr>
        <w:t>三项制度</w:t>
      </w:r>
      <w:r>
        <w:rPr>
          <w:rFonts w:ascii="宋体" w:hAnsi="宋体" w:hint="eastAsia"/>
          <w:sz w:val="32"/>
          <w:szCs w:val="32"/>
        </w:rPr>
        <w:t>”</w:t>
      </w:r>
      <w:r>
        <w:rPr>
          <w:rFonts w:ascii="仿宋" w:eastAsia="仿宋" w:hAnsi="仿宋" w:hint="eastAsia"/>
          <w:sz w:val="32"/>
          <w:szCs w:val="32"/>
        </w:rPr>
        <w:t>建设,依托互联网或手机客户端搭建流动人口网上服务平台,提高专业化、信息化水平。充分利用好</w:t>
      </w:r>
      <w:r>
        <w:rPr>
          <w:rFonts w:ascii="宋体" w:hAnsi="宋体" w:hint="eastAsia"/>
          <w:sz w:val="32"/>
          <w:szCs w:val="32"/>
        </w:rPr>
        <w:t>“</w:t>
      </w:r>
      <w:r>
        <w:rPr>
          <w:rFonts w:ascii="仿宋" w:eastAsia="仿宋" w:hAnsi="仿宋" w:hint="eastAsia"/>
          <w:sz w:val="32"/>
          <w:szCs w:val="32"/>
        </w:rPr>
        <w:t>阳光中途之家</w:t>
      </w:r>
      <w:r>
        <w:rPr>
          <w:rFonts w:ascii="宋体" w:hAnsi="宋体" w:hint="eastAsia"/>
          <w:sz w:val="32"/>
          <w:szCs w:val="32"/>
        </w:rPr>
        <w:t>”</w:t>
      </w:r>
      <w:r>
        <w:rPr>
          <w:rFonts w:ascii="仿宋" w:eastAsia="仿宋" w:hAnsi="仿宋" w:hint="eastAsia"/>
          <w:sz w:val="32"/>
          <w:szCs w:val="32"/>
        </w:rPr>
        <w:t>，加强刑满释放人员安置帮教工作,严格落实重点帮教对象必接必送等措施,安置率、帮教率要达到100%,重新犯罪率要低于全省平均水平。全面落实社区服刑人员</w:t>
      </w:r>
      <w:r>
        <w:rPr>
          <w:rFonts w:ascii="宋体" w:hAnsi="宋体" w:hint="eastAsia"/>
          <w:sz w:val="32"/>
          <w:szCs w:val="32"/>
        </w:rPr>
        <w:t>“</w:t>
      </w:r>
      <w:r>
        <w:rPr>
          <w:rFonts w:ascii="仿宋" w:eastAsia="仿宋" w:hAnsi="仿宋" w:hint="eastAsia"/>
          <w:sz w:val="32"/>
          <w:szCs w:val="32"/>
        </w:rPr>
        <w:t>手机+手环</w:t>
      </w:r>
      <w:r>
        <w:rPr>
          <w:rFonts w:ascii="宋体" w:hAnsi="宋体" w:hint="eastAsia"/>
          <w:sz w:val="32"/>
          <w:szCs w:val="32"/>
        </w:rPr>
        <w:t>”</w:t>
      </w:r>
      <w:r>
        <w:rPr>
          <w:rFonts w:ascii="仿宋" w:eastAsia="仿宋" w:hAnsi="仿宋" w:hint="eastAsia"/>
          <w:sz w:val="32"/>
          <w:szCs w:val="32"/>
        </w:rPr>
        <w:t>双定位、</w:t>
      </w:r>
      <w:r>
        <w:rPr>
          <w:rFonts w:ascii="宋体" w:hAnsi="宋体" w:hint="eastAsia"/>
          <w:sz w:val="32"/>
          <w:szCs w:val="32"/>
        </w:rPr>
        <w:t>“</w:t>
      </w:r>
      <w:r>
        <w:rPr>
          <w:rFonts w:ascii="仿宋" w:eastAsia="仿宋" w:hAnsi="仿宋" w:hint="eastAsia"/>
          <w:sz w:val="32"/>
          <w:szCs w:val="32"/>
        </w:rPr>
        <w:t>指纹+人脸</w:t>
      </w:r>
      <w:r>
        <w:rPr>
          <w:rFonts w:ascii="宋体" w:hAnsi="宋体" w:hint="eastAsia"/>
          <w:sz w:val="32"/>
          <w:szCs w:val="32"/>
        </w:rPr>
        <w:t>”</w:t>
      </w:r>
      <w:r>
        <w:rPr>
          <w:rFonts w:ascii="仿宋" w:eastAsia="仿宋" w:hAnsi="仿宋" w:hint="eastAsia"/>
          <w:sz w:val="32"/>
          <w:szCs w:val="32"/>
        </w:rPr>
        <w:t>双识别、同步视频等信息化监管手段,加强社会工作专业岗位开发与人才激励保障,鼓励、支持和引导社会组织参与心理疏导、帮教衔接等工作。</w:t>
      </w:r>
    </w:p>
    <w:p>
      <w:pPr>
        <w:spacing w:line="600" w:lineRule="exact"/>
        <w:ind w:firstLine="640"/>
        <w:rPr>
          <w:rFonts w:ascii="仿宋" w:eastAsia="仿宋" w:hAnsi="仿宋"/>
          <w:sz w:val="32"/>
          <w:szCs w:val="32"/>
        </w:rPr>
      </w:pPr>
      <w:r>
        <w:rPr>
          <w:rFonts w:ascii="仿宋" w:eastAsia="仿宋" w:hAnsi="仿宋" w:hint="eastAsia"/>
          <w:sz w:val="32"/>
          <w:szCs w:val="32"/>
        </w:rPr>
        <w:t>6.推动保险业参与平安建设。各乡镇、新丰路街道、经济开发区治安保险参保覆盖率达到100%。</w:t>
      </w:r>
    </w:p>
    <w:p>
      <w:pPr>
        <w:spacing w:line="600" w:lineRule="exact"/>
        <w:ind w:firstLine="640"/>
        <w:rPr>
          <w:rFonts w:ascii="仿宋" w:eastAsia="仿宋" w:hAnsi="仿宋"/>
          <w:sz w:val="32"/>
          <w:szCs w:val="32"/>
        </w:rPr>
      </w:pPr>
      <w:r>
        <w:rPr>
          <w:rFonts w:ascii="仿宋" w:eastAsia="仿宋" w:hAnsi="仿宋" w:hint="eastAsia"/>
          <w:sz w:val="32"/>
          <w:szCs w:val="32"/>
        </w:rPr>
        <w:t>7.推动见义勇为事业健康有序发展。集中宣传见义勇为英模事迹和见义勇为政策法规,积极参与市</w:t>
      </w:r>
      <w:r>
        <w:rPr>
          <w:rFonts w:ascii="宋体" w:hAnsi="宋体" w:hint="eastAsia"/>
          <w:sz w:val="32"/>
          <w:szCs w:val="32"/>
        </w:rPr>
        <w:t>“</w:t>
      </w:r>
      <w:r>
        <w:rPr>
          <w:rFonts w:ascii="仿宋" w:eastAsia="仿宋" w:hAnsi="仿宋" w:hint="eastAsia"/>
          <w:sz w:val="32"/>
          <w:szCs w:val="32"/>
        </w:rPr>
        <w:t>见义勇为在我心中大家谈</w:t>
      </w:r>
      <w:r>
        <w:rPr>
          <w:rFonts w:ascii="宋体" w:hAnsi="宋体" w:hint="eastAsia"/>
          <w:sz w:val="32"/>
          <w:szCs w:val="32"/>
        </w:rPr>
        <w:t>”</w:t>
      </w:r>
      <w:r>
        <w:rPr>
          <w:rFonts w:ascii="仿宋" w:eastAsia="仿宋" w:hAnsi="仿宋" w:hint="eastAsia"/>
          <w:sz w:val="32"/>
          <w:szCs w:val="32"/>
        </w:rPr>
        <w:t>征文活动。认真落实《承德市见义勇为确认和保障工作机制的实施意见》,规范见义勇为确认、申报工作,加强见义勇为人员生活保障。加强各乡镇、新丰路街道、经济开发区见义勇为工作站建设,推动见义勇为工作室(站)进社区、进企业、进街道、进村居,全县乡镇级工作站建设实现全覆盖。</w:t>
      </w:r>
    </w:p>
    <w:p>
      <w:pPr>
        <w:spacing w:line="600" w:lineRule="exact"/>
        <w:ind w:firstLine="640"/>
        <w:rPr>
          <w:rFonts w:ascii="仿宋" w:eastAsia="仿宋" w:hAnsi="仿宋"/>
          <w:sz w:val="32"/>
          <w:szCs w:val="32"/>
        </w:rPr>
      </w:pPr>
      <w:r>
        <w:rPr>
          <w:rFonts w:ascii="仿宋" w:eastAsia="仿宋" w:hAnsi="仿宋" w:hint="eastAsia"/>
          <w:sz w:val="32"/>
          <w:szCs w:val="32"/>
        </w:rPr>
        <w:t>8.扎实开展涉法涉诉信访专项治理。强化政法部门的主体责任，督促政法部门对重大信访隐患全部化解到位，督促信访问题突出的政法单位开展</w:t>
      </w:r>
      <w:r>
        <w:rPr>
          <w:rFonts w:ascii="宋体" w:hAnsi="宋体" w:hint="eastAsia"/>
          <w:sz w:val="32"/>
          <w:szCs w:val="32"/>
        </w:rPr>
        <w:t>“</w:t>
      </w:r>
      <w:r>
        <w:rPr>
          <w:rFonts w:ascii="仿宋" w:eastAsia="仿宋" w:hAnsi="仿宋" w:hint="eastAsia"/>
          <w:sz w:val="32"/>
          <w:szCs w:val="32"/>
        </w:rPr>
        <w:t>点对点</w:t>
      </w:r>
      <w:r>
        <w:rPr>
          <w:rFonts w:ascii="宋体" w:hAnsi="宋体" w:hint="eastAsia"/>
          <w:sz w:val="32"/>
          <w:szCs w:val="32"/>
        </w:rPr>
        <w:t>”</w:t>
      </w:r>
      <w:r>
        <w:rPr>
          <w:rFonts w:ascii="仿宋" w:eastAsia="仿宋" w:hAnsi="仿宋" w:hint="eastAsia"/>
          <w:sz w:val="32"/>
          <w:szCs w:val="32"/>
        </w:rPr>
        <w:t>执法巡查，督促整改，从源头上减少涉法涉诉信访问题的发生。完善和落实涉法涉诉信访司法救助制度，做好律师参与代理涉法涉诉信访工作。</w:t>
      </w:r>
    </w:p>
    <w:p>
      <w:pPr>
        <w:spacing w:line="600" w:lineRule="exact"/>
        <w:ind w:firstLine="480"/>
        <w:rPr>
          <w:rFonts w:ascii="仿宋" w:eastAsia="仿宋" w:hAnsi="仿宋"/>
          <w:sz w:val="32"/>
          <w:szCs w:val="32"/>
        </w:rPr>
      </w:pPr>
      <w:r>
        <w:rPr>
          <w:rFonts w:ascii="仿宋" w:eastAsia="仿宋" w:hAnsi="仿宋" w:hint="eastAsia"/>
          <w:sz w:val="32"/>
          <w:szCs w:val="32"/>
        </w:rPr>
        <w:t>9. 严格落实中央、省市各项要求，深入推进扫黑除恶专项斗争，组织协调全县扫黑除恶专项斗争工作，强化督导检查，加强宣传造势，培树典型，形成浓厚严打氛围，创造和谐的社会环境。</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1.防范工作经费绩效目标表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130826217WG97WVUFX003</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防范工作经费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9.00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全国两会及敏感期安保工作、宣传打击工作、教育转化工作</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95.00%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1.教育转化</w:t>
            </w:r>
          </w:p>
          <w:p>
            <w:pPr>
              <w:spacing w:line="300" w:lineRule="exact"/>
              <w:jc w:val="left"/>
              <w:rPr>
                <w:rFonts w:ascii="方正书宋_GBK" w:eastAsia="宋体" w:hAnsi="方正书宋_GBK" w:cs="Calibri" w:hint="eastAsia"/>
                <w:szCs w:val="21"/>
              </w:rPr>
            </w:pPr>
            <w:r>
              <w:rPr>
                <w:rFonts w:ascii="方正书宋_GBK" w:hAnsi="方正书宋_GBK" w:cs="Calibri"/>
              </w:rPr>
              <w:t>2.宣传打击</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宣传品发放率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对反邪教工作的宣传</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转化率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教育转化人数占总数的比例</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按期完成率（%）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对教育转化工作的完成情况</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社会影响力</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宣传的力度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长期性</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群众对邪教宣传的知晓度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对宣传工作的满意度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type w:val="continuous"/>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2.扫黑除恶绩效目标表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130826219FMMRO6CXCPG8</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扫黑除恶</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9.00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组织协调全县扫黑除恶专项斗争工作</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1.强化督导检查工作</w:t>
            </w:r>
          </w:p>
          <w:p>
            <w:pPr>
              <w:spacing w:line="300" w:lineRule="exact"/>
              <w:jc w:val="left"/>
              <w:rPr>
                <w:rFonts w:ascii="方正书宋_GBK" w:eastAsia="宋体" w:hAnsi="方正书宋_GBK" w:cs="Calibri" w:hint="eastAsia"/>
                <w:szCs w:val="21"/>
              </w:rPr>
            </w:pPr>
            <w:r>
              <w:rPr>
                <w:rFonts w:ascii="方正书宋_GBK" w:hAnsi="方正书宋_GBK" w:cs="Calibri"/>
              </w:rPr>
              <w:t>2.加强宣传工作</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督导检查次数</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每年不少于四次</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≥4次</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宣传率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扫黑除恶工作的宣传</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扫黑除恶工作完成率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宣传力度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扫黑除恶专项斗争工作宣传力度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可持续影响力</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长期性</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满意度比例</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≥95%</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3.视联网运营绩效目标表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130826219Z83HY6YF77MR</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视联网运营</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12.97</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12.97</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加快推进综治视联网建设</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1.加快推进综治视联网建设</w:t>
            </w:r>
          </w:p>
          <w:p>
            <w:pPr>
              <w:spacing w:line="300" w:lineRule="exact"/>
              <w:jc w:val="left"/>
              <w:rPr>
                <w:rFonts w:ascii="方正书宋_GBK" w:eastAsia="宋体" w:hAnsi="方正书宋_GBK" w:cs="Calibri" w:hint="eastAsia"/>
                <w:szCs w:val="21"/>
              </w:rPr>
            </w:pPr>
            <w:r>
              <w:rPr>
                <w:rFonts w:ascii="方正书宋_GBK" w:hAnsi="方正书宋_GBK" w:cs="Calibri"/>
              </w:rPr>
              <w:t>2.综治视联网各项工作</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实现乡镇（街办）综治视联网全覆盖</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正常使用率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正常使用率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按期完成率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加快推进综治视联网建设</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统计率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视联网的统计 </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可持续使用率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长期性</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群众安全感满意度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4.特殊人群众管控精神障碍患者责任险绩效目标表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13082621AEBRNG2RBTYAO</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特殊人群众管控精神障碍患者责任险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15.45</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15.45</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精神障碍患者责任保险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95.00%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1.精神障碍患者责任保险</w:t>
            </w:r>
          </w:p>
          <w:p>
            <w:pPr>
              <w:spacing w:line="300" w:lineRule="exact"/>
              <w:jc w:val="left"/>
              <w:rPr>
                <w:rFonts w:ascii="方正书宋_GBK" w:eastAsia="宋体" w:hAnsi="方正书宋_GBK" w:cs="Calibri" w:hint="eastAsia"/>
                <w:szCs w:val="21"/>
              </w:rPr>
            </w:pPr>
            <w:r>
              <w:rPr>
                <w:rFonts w:ascii="方正书宋_GBK" w:hAnsi="方正书宋_GBK" w:cs="Calibri"/>
              </w:rPr>
              <w:t>2.精神障碍患者服务</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保险率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精神障碍患者责任保险率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完成效果</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在规定的时间内办结</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按期完成率（%）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精神障碍患者责任险完成情况</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以奖代补发放率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严重精神肇事肇祸患者以奖代补发放率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长期性</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长期对精神障碍患者的责任险</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≥100持续性影响</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精神患者满意度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5.司法救助绩效目标表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13082621KR7TBHWYA2FNU</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司法救助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20.00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20.00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1、刑事案件中，因案件未破获或犯罪嫌疑人、被告人确实没有经济赔偿能力，致使受害人或受基赡养、抚养的直系亲属遭受严重生活困难的。</w:t>
            </w:r>
          </w:p>
          <w:p>
            <w:pPr>
              <w:spacing w:line="300" w:lineRule="exact"/>
              <w:jc w:val="left"/>
              <w:rPr>
                <w:rFonts w:ascii="方正书宋_GBK" w:eastAsia="宋体" w:hAnsi="方正书宋_GBK" w:cs="Calibri" w:hint="eastAsia"/>
                <w:szCs w:val="21"/>
              </w:rPr>
            </w:pPr>
            <w:r>
              <w:rPr>
                <w:rFonts w:ascii="方正书宋_GBK" w:hAnsi="方正书宋_GBK" w:cs="Calibri"/>
              </w:rPr>
              <w:t>2、执行案件中，因一方当事人未到案或缺乏履行能力，致使另一方当事人遭受严重活动困难的。</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1.政法队伍整体素质和工作水平得到提高</w:t>
            </w:r>
          </w:p>
          <w:p>
            <w:pPr>
              <w:spacing w:line="300" w:lineRule="exact"/>
              <w:jc w:val="left"/>
              <w:rPr>
                <w:rFonts w:ascii="方正书宋_GBK" w:eastAsia="宋体" w:hAnsi="方正书宋_GBK" w:cs="Calibri" w:hint="eastAsia"/>
                <w:szCs w:val="21"/>
              </w:rPr>
            </w:pPr>
            <w:r>
              <w:rPr>
                <w:rFonts w:ascii="方正书宋_GBK" w:hAnsi="方正书宋_GBK" w:cs="Calibri"/>
              </w:rPr>
              <w:t>2.完成涉法涉诉信访工作任务</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司法救助完成率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按照要求和计划完成研究任务的项目在所有立项项目中的比例</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≥95百分比</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各项任务完成及时率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及时完成率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涉法涉诉完成率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提高政法队伍素质</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涉法涉诉工作长期性</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长期使用性</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群众满意数量占总数的比例</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≥95%</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6.平安建设绩效目标表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13082621LFKA0GV6SY2L8</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平安建设</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36.90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36.90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用于平安建设各项工作经费的支出</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1.实现政治安定，社会稳定</w:t>
            </w:r>
          </w:p>
          <w:p>
            <w:pPr>
              <w:spacing w:line="300" w:lineRule="exact"/>
              <w:jc w:val="left"/>
              <w:rPr>
                <w:rFonts w:ascii="方正书宋_GBK" w:eastAsia="宋体" w:hAnsi="方正书宋_GBK" w:cs="Calibri" w:hint="eastAsia"/>
                <w:szCs w:val="21"/>
              </w:rPr>
            </w:pPr>
            <w:r>
              <w:rPr>
                <w:rFonts w:ascii="方正书宋_GBK" w:hAnsi="方正书宋_GBK" w:cs="Calibri"/>
              </w:rPr>
              <w:t>2.人民安居乐业</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制作与发放外宣品的数量（份）</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反映满足全省涉外活动对外宣品的需求情况</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≥1000份</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完成情况</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完成各项工作情况</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按照要求和计划完成研究任务的项目在所有立项项目中的比例（百分比）</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≥95%</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社会影响力</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在全国或全省产生的重要影响，得到广大群众的充分认可</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可持续影响力</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长期性</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对各项工作开展情况满意程度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群众满意</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≥95%</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7.政法网光纤租赁、维护费和综治视联网建设绩效目标表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13082621OUXNOOFSF79DN</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政法网光纤租赁、维护费和综治视联网建设</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31.29</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31.29</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加强机关事务性管理，确保政法网络通畅</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95.00%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1.加强机关事务性管理</w:t>
            </w:r>
          </w:p>
          <w:p>
            <w:pPr>
              <w:spacing w:line="300" w:lineRule="exact"/>
              <w:jc w:val="left"/>
              <w:rPr>
                <w:rFonts w:ascii="方正书宋_GBK" w:eastAsia="宋体" w:hAnsi="方正书宋_GBK" w:cs="Calibri" w:hint="eastAsia"/>
                <w:szCs w:val="21"/>
              </w:rPr>
            </w:pPr>
            <w:r>
              <w:rPr>
                <w:rFonts w:ascii="方正书宋_GBK" w:hAnsi="方正书宋_GBK" w:cs="Calibri"/>
              </w:rPr>
              <w:t>2.确保政法网络通畅</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覆盖率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政法网安装</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使用率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政法网使用</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政法网完成情况</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通畅率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政法网通畅率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长期使用率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长期使用率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8.精神障碍患者智能手环绩效目标表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13082621OWYY3S0VW9PCI</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精神障碍患者智能手环</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9.00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精神病患者手环佩戴</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95.00%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1.给精神病患者佩戴手环</w:t>
            </w:r>
          </w:p>
          <w:p>
            <w:pPr>
              <w:spacing w:line="300" w:lineRule="exact"/>
              <w:jc w:val="left"/>
              <w:rPr>
                <w:rFonts w:ascii="方正书宋_GBK" w:eastAsia="宋体" w:hAnsi="方正书宋_GBK" w:cs="Calibri" w:hint="eastAsia"/>
                <w:szCs w:val="21"/>
              </w:rPr>
            </w:pPr>
            <w:r>
              <w:rPr>
                <w:rFonts w:ascii="方正书宋_GBK" w:hAnsi="方正书宋_GBK" w:cs="Calibri"/>
              </w:rPr>
              <w:t>2.精神病患者知晓度</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发放率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精神病患者手环发放率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实际完成率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按期完成率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在规定期限内完成</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知晓度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精神障碍患者发放手环知晓率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长期性</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精神障碍患者佩戴手环</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群众满意程度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9.治安家财保险绩效目标表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13082621QM62I83GROLGS</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治安家财保险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54.86</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54.86</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推动农村治安家财保险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1.农村治安家财保险赔付</w:t>
            </w:r>
          </w:p>
          <w:p>
            <w:pPr>
              <w:spacing w:line="300" w:lineRule="exact"/>
              <w:jc w:val="left"/>
              <w:rPr>
                <w:rFonts w:ascii="方正书宋_GBK" w:eastAsia="宋体" w:hAnsi="方正书宋_GBK" w:cs="Calibri" w:hint="eastAsia"/>
                <w:szCs w:val="21"/>
              </w:rPr>
            </w:pPr>
            <w:r>
              <w:rPr>
                <w:rFonts w:ascii="方正书宋_GBK" w:hAnsi="方正书宋_GBK" w:cs="Calibri"/>
              </w:rPr>
              <w:t>2.农村治安家财保险知晓度</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农村治安家财保险赔付率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减轻农民经济损失</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及时性</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及时性</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农村治安家财保险的知晓度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减少社会矛盾</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持续发展率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长期使用率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对治安家财保险的满意度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10.见义勇为绩效目标表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13082621YL17D9PKBVMGV</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见义勇为</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4.50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4.50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用于奖励、慰问、宣传见义勇为人员</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1.见义勇为工作的推广和延伸</w:t>
            </w:r>
          </w:p>
          <w:p>
            <w:pPr>
              <w:spacing w:line="300" w:lineRule="exact"/>
              <w:jc w:val="left"/>
              <w:rPr>
                <w:rFonts w:ascii="方正书宋_GBK" w:eastAsia="宋体" w:hAnsi="方正书宋_GBK" w:cs="Calibri" w:hint="eastAsia"/>
                <w:szCs w:val="21"/>
              </w:rPr>
            </w:pPr>
            <w:r>
              <w:rPr>
                <w:rFonts w:ascii="方正书宋_GBK" w:hAnsi="方正书宋_GBK" w:cs="Calibri"/>
              </w:rPr>
              <w:t>2.奖励、慰问、宣传见义勇为人员</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救济率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见义勇为人员的救济</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完成效果</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在规定的时间内办结</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及时性</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见义勇为人员的救济</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慰问率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慰问帮扶见义勇为人员慰问率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社会影响力</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社会影响力</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见义勇为人员的满意度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widowControl/>
        <w:jc w:val="left"/>
        <w:sectPr>
          <w:pgSz w:w="11907" w:h="16839"/>
          <w:pgMar w:top="1984" w:right="1304" w:bottom="1134" w:left="1304" w:header="851" w:footer="992" w:gutter="0"/>
          <w:cols w:num="1" w:space="720"/>
          <w:docGrid w:type="lines" w:linePitch="312" w:charSpace="0"/>
        </w:sectPr>
      </w:pPr>
    </w:p>
    <w:p>
      <w:pPr>
        <w:spacing w:line="300" w:lineRule="exact"/>
        <w:jc w:val="left"/>
        <w:rPr>
          <w:rFonts w:ascii="Calibri" w:hAnsi="Calibri" w:cs="宋体"/>
          <w:szCs w:val="21"/>
        </w:rPr>
      </w:pPr>
      <w:r>
        <w:t xml:space="preserve"> </w:t>
      </w:r>
    </w:p>
    <w:p>
      <w:pPr>
        <w:ind w:firstLine="560" w:firstLineChars="200"/>
        <w:jc w:val="left"/>
        <w:outlineLvl w:val="3"/>
        <w:rPr>
          <w:rFonts w:ascii="Times New Roman" w:hAnsi="宋体" w:cs="Calibri"/>
          <w:b/>
          <w:sz w:val="28"/>
          <w:szCs w:val="28"/>
        </w:rPr>
      </w:pPr>
      <w:r>
        <w:rPr>
          <w:rFonts w:ascii="方正仿宋_GBK" w:hAnsi="方正仿宋_GBK" w:cs="Calibri"/>
          <w:b/>
          <w:sz w:val="28"/>
          <w:szCs w:val="28"/>
        </w:rPr>
        <w:t>11.特困干警绩效目标表</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书宋_GBK" w:eastAsia="宋体" w:hAnsi="方正书宋_GBK" w:cs="Calibri" w:hint="eastAsia"/>
                <w:b/>
                <w:szCs w:val="21"/>
              </w:rPr>
            </w:pPr>
            <w:r>
              <w:rPr>
                <w:rFonts w:ascii="方正书宋_GBK" w:hAnsi="方正书宋_GBK" w:cs="Calibri"/>
                <w:b/>
              </w:rPr>
              <w:t>216001中共丰宁满族自治县委政法委员会本级</w:t>
            </w:r>
          </w:p>
        </w:tc>
        <w:tc>
          <w:tcPr>
            <w:tcW w:w="1701" w:type="dxa"/>
            <w:tcBorders>
              <w:top w:val="single" w:sz="6" w:space="0" w:color="FFFFFF"/>
              <w:left w:val="nil"/>
              <w:bottom w:val="single" w:sz="6" w:space="0" w:color="000000"/>
              <w:right w:val="single" w:sz="6" w:space="0" w:color="FFFFFF"/>
            </w:tcBorders>
            <w:vAlign w:val="center"/>
          </w:tcPr>
          <w:p>
            <w:pPr>
              <w:spacing w:line="300" w:lineRule="exact"/>
              <w:jc w:val="right"/>
              <w:rPr>
                <w:rFonts w:ascii="方正书宋_GBK" w:eastAsia="宋体" w:hAnsi="方正书宋_GBK" w:cs="Calibri" w:hint="eastAsia"/>
                <w:szCs w:val="21"/>
              </w:rPr>
            </w:pPr>
            <w:r>
              <w:rPr>
                <w:rFonts w:ascii="方正书宋_GBK" w:hAnsi="方正书宋_GBK" w:cs="Calibri"/>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项目编码</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13082621ZXZPLVEXIYK14</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项目名称</w:t>
            </w:r>
          </w:p>
        </w:tc>
        <w:tc>
          <w:tcPr>
            <w:tcW w:w="4281" w:type="dxa"/>
            <w:gridSpan w:val="3"/>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特困干警</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预算规模及资金用途</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预算数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15.00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其中：财政资金</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15.00</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其他资金</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0</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8278" w:type="dxa"/>
            <w:gridSpan w:val="6"/>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特困干警的救助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资金支出计划（%）</w:t>
            </w: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3月底</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6月底</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10月底</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12月底</w:t>
            </w:r>
          </w:p>
        </w:tc>
      </w:tr>
      <w:tr>
        <w:tblPrEx>
          <w:tblW w:w="9412" w:type="dxa"/>
          <w:jc w:val="center"/>
          <w:tblLayout w:type="fixed"/>
          <w:tblCellMar>
            <w:top w:w="0" w:type="dxa"/>
            <w:left w:w="108" w:type="dxa"/>
            <w:bottom w:w="0" w:type="dxa"/>
            <w:right w:w="108" w:type="dxa"/>
          </w:tblCellMar>
        </w:tblPrEx>
        <w:trPr>
          <w:trHeight w:val="369"/>
          <w:jc w:val="center"/>
        </w:trPr>
        <w:tc>
          <w:tcPr>
            <w:tcW w:w="7711"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b/>
                <w:szCs w:val="21"/>
              </w:rPr>
            </w:pPr>
          </w:p>
        </w:tc>
        <w:tc>
          <w:tcPr>
            <w:tcW w:w="2410"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30.00%</w:t>
            </w:r>
          </w:p>
        </w:tc>
        <w:tc>
          <w:tcPr>
            <w:tcW w:w="1587"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60.00%</w:t>
            </w:r>
          </w:p>
        </w:tc>
        <w:tc>
          <w:tcPr>
            <w:tcW w:w="130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90.00%</w:t>
            </w:r>
          </w:p>
        </w:tc>
        <w:tc>
          <w:tcPr>
            <w:tcW w:w="2977" w:type="dxa"/>
            <w:gridSpan w:val="2"/>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95.00%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绩效目标</w:t>
            </w:r>
          </w:p>
        </w:tc>
        <w:tc>
          <w:tcPr>
            <w:tcW w:w="8278" w:type="dxa"/>
            <w:gridSpan w:val="6"/>
            <w:tcBorders>
              <w:top w:val="single" w:sz="6" w:space="0" w:color="000000"/>
              <w:left w:val="nil"/>
              <w:bottom w:val="nil"/>
              <w:right w:val="single" w:sz="6" w:space="0" w:color="000000"/>
            </w:tcBorders>
            <w:vAlign w:val="center"/>
          </w:tcPr>
          <w:p>
            <w:pPr>
              <w:spacing w:line="300" w:lineRule="exact"/>
              <w:jc w:val="left"/>
              <w:rPr>
                <w:rFonts w:ascii="方正书宋_GBK" w:hAnsi="方正书宋_GBK" w:cs="Calibri" w:hint="eastAsia"/>
                <w:szCs w:val="21"/>
              </w:rPr>
            </w:pPr>
            <w:r>
              <w:rPr>
                <w:rFonts w:ascii="方正书宋_GBK" w:hAnsi="方正书宋_GBK" w:cs="Calibri"/>
              </w:rPr>
              <w:t>1.因公牺牲、伤残特困干警的资助</w:t>
            </w:r>
          </w:p>
          <w:p>
            <w:pPr>
              <w:spacing w:line="300" w:lineRule="exact"/>
              <w:jc w:val="left"/>
              <w:rPr>
                <w:rFonts w:ascii="方正书宋_GBK" w:eastAsia="宋体" w:hAnsi="方正书宋_GBK" w:cs="Calibri" w:hint="eastAsia"/>
                <w:szCs w:val="21"/>
              </w:rPr>
            </w:pPr>
            <w:r>
              <w:rPr>
                <w:rFonts w:ascii="方正书宋_GBK" w:hAnsi="方正书宋_GBK" w:cs="Calibri"/>
              </w:rPr>
              <w:t>2.组织政法系统英模先进典型宣传</w:t>
            </w:r>
          </w:p>
        </w:tc>
      </w:tr>
    </w:tbl>
    <w:p>
      <w:pPr>
        <w:spacing w:line="14" w:lineRule="exact"/>
        <w:jc w:val="center"/>
        <w:rPr>
          <w:rFonts w:ascii="Times New Roman" w:hAnsi="宋体" w:cs="Calibri"/>
          <w:szCs w:val="21"/>
        </w:rPr>
      </w:pPr>
      <w:r>
        <w:rPr>
          <w:rFonts w:ascii="方正书宋_GBK" w:hAnsi="方正书宋_GBK" w:cs="Calibri"/>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一级指标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二级指标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三级指标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绩效指标描述</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b/>
                <w:szCs w:val="21"/>
              </w:rPr>
            </w:pPr>
            <w:r>
              <w:rPr>
                <w:rFonts w:ascii="方正书宋_GBK" w:hAnsi="方正书宋_GBK" w:cs="Calibri"/>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产出指标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数量指标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救助人数比例</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因公牺牲、伤残特困干警救助人数比例</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≥20百分比</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质量指标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宣传力度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组织政法系统英模先进典型的宣传</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时效指标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完成率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对特困干警的资助</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效益指标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社会效益指标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应急救助率</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因公牺牲、伤残特困干警救助率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pPr>
              <w:widowControl/>
              <w:jc w:val="left"/>
              <w:rPr>
                <w:rFonts w:ascii="方正书宋_GBK" w:eastAsia="宋体" w:hAnsi="方正书宋_GBK" w:cs="Calibri" w:hint="eastAsia"/>
                <w:szCs w:val="21"/>
              </w:rPr>
            </w:pP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可持续影响指标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影响力</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长期使用性</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宋体" w:hAnsi="方正书宋_GBK" w:cs="Calibri" w:hint="eastAsia"/>
                <w:szCs w:val="21"/>
              </w:rPr>
            </w:pPr>
            <w:r>
              <w:rPr>
                <w:rFonts w:ascii="方正书宋_GBK" w:hAnsi="方正书宋_GBK" w:cs="Calibri"/>
              </w:rPr>
              <w:t>满意度指标</w:t>
            </w:r>
          </w:p>
        </w:tc>
        <w:tc>
          <w:tcPr>
            <w:tcW w:w="1134"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服务对象满意度指标</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满意度</w:t>
            </w:r>
          </w:p>
        </w:tc>
        <w:tc>
          <w:tcPr>
            <w:tcW w:w="289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满意程度</w:t>
            </w:r>
          </w:p>
        </w:tc>
        <w:tc>
          <w:tcPr>
            <w:tcW w:w="1276"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≥100%</w:t>
            </w:r>
          </w:p>
        </w:tc>
        <w:tc>
          <w:tcPr>
            <w:tcW w:w="1701" w:type="dxa"/>
            <w:tcBorders>
              <w:top w:val="single" w:sz="6" w:space="0" w:color="000000"/>
              <w:left w:val="nil"/>
              <w:bottom w:val="single" w:sz="6" w:space="0" w:color="000000"/>
              <w:right w:val="single" w:sz="6" w:space="0" w:color="000000"/>
            </w:tcBorders>
            <w:vAlign w:val="center"/>
          </w:tcPr>
          <w:p>
            <w:pPr>
              <w:spacing w:line="300" w:lineRule="exact"/>
              <w:jc w:val="left"/>
              <w:rPr>
                <w:rFonts w:ascii="方正书宋_GBK" w:eastAsia="宋体" w:hAnsi="方正书宋_GBK" w:cs="Calibri" w:hint="eastAsia"/>
                <w:szCs w:val="21"/>
              </w:rPr>
            </w:pPr>
            <w:r>
              <w:rPr>
                <w:rFonts w:ascii="方正书宋_GBK" w:hAnsi="方正书宋_GBK" w:cs="Calibri"/>
              </w:rPr>
              <w:t>历史标准</w:t>
            </w:r>
          </w:p>
        </w:tc>
      </w:tr>
    </w:tbl>
    <w:p>
      <w:pPr>
        <w:keepNext/>
        <w:keepLines/>
        <w:snapToGrid w:val="0"/>
        <w:spacing w:line="580" w:lineRule="exact"/>
        <w:ind w:firstLine="640" w:firstLineChars="200"/>
        <w:outlineLvl w:val="1"/>
        <w:rPr>
          <w:rFonts w:ascii="黑体" w:eastAsia="黑体" w:hAnsi="Calibri"/>
          <w:sz w:val="32"/>
          <w:szCs w:val="32"/>
        </w:rPr>
      </w:pPr>
      <w:r>
        <w:rPr>
          <w:rFonts w:ascii="黑体" w:eastAsia="黑体" w:hAnsi="Calibri" w:hint="eastAsia"/>
          <w:sz w:val="32"/>
          <w:szCs w:val="32"/>
        </w:rPr>
        <w:t>七、其他重要事项的说明</w:t>
      </w:r>
    </w:p>
    <w:p>
      <w:pPr>
        <w:keepNext/>
        <w:keepLines/>
        <w:snapToGrid w:val="0"/>
        <w:spacing w:line="580" w:lineRule="exact"/>
        <w:ind w:firstLine="640" w:firstLineChars="20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年度机关运行经费支出173.34万元，比</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年度减少0.18万元，降低0.1</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。主要原因是变化减少较小，属于年度执行产生的微弱差值。</w:t>
      </w:r>
    </w:p>
    <w:p>
      <w:pPr>
        <w:keepNext/>
        <w:keepLines/>
        <w:snapToGrid w:val="0"/>
        <w:spacing w:line="580" w:lineRule="exact"/>
        <w:ind w:firstLine="640" w:firstLineChars="20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pPr>
        <w:snapToGrid w:val="0"/>
        <w:spacing w:line="580" w:lineRule="exact"/>
        <w:ind w:firstLine="640" w:firstLineChars="20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 xml:space="preserve">0 </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 xml:space="preserve"> 0</w:t>
      </w:r>
      <w:r>
        <w:rPr>
          <w:rFonts w:ascii="仿宋_GB2312" w:eastAsia="仿宋_GB2312" w:hAnsi="仿宋_GB2312" w:cs="仿宋_GB2312" w:hint="eastAsia"/>
          <w:color w:val="000000"/>
          <w:kern w:val="0"/>
          <w:sz w:val="32"/>
          <w:szCs w:val="32"/>
        </w:rPr>
        <w:t>万元。授予中小企业合同金</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，其中授予小微企业合同金额</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 xml:space="preserve"> 0%</w:t>
      </w:r>
      <w:r>
        <w:rPr>
          <w:rFonts w:ascii="仿宋_GB2312" w:eastAsia="仿宋_GB2312" w:hAnsi="仿宋_GB2312" w:cs="仿宋_GB2312" w:hint="eastAsia"/>
          <w:color w:val="000000"/>
          <w:kern w:val="0"/>
          <w:sz w:val="32"/>
          <w:szCs w:val="32"/>
        </w:rPr>
        <w:t>。</w:t>
      </w:r>
      <w:r>
        <w:rPr>
          <w:rFonts w:ascii="仿宋_GB2312" w:eastAsia="仿宋_GB2312" w:hAnsi="Times New Roman" w:cs="DengXian-Regular" w:hint="eastAsia"/>
          <w:sz w:val="32"/>
          <w:szCs w:val="32"/>
        </w:rPr>
        <w:t>未有发生政府采购支出。</w:t>
      </w:r>
    </w:p>
    <w:p>
      <w:pPr>
        <w:keepNext/>
        <w:keepLines/>
        <w:snapToGrid w:val="0"/>
        <w:spacing w:line="580" w:lineRule="exact"/>
        <w:ind w:firstLine="640" w:firstLineChars="20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日，本部门共有车辆1辆，比上年增加0辆，主要是车辆未有变化。其中，副部（省）级及以上领导用车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辆，主要领导干部用车1辆，机要通信用车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辆，应急保障用车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辆，无其他用车辆；</w:t>
      </w:r>
    </w:p>
    <w:p>
      <w:pPr>
        <w:adjustRightInd w:val="0"/>
        <w:snapToGrid w:val="0"/>
        <w:spacing w:line="580" w:lineRule="exact"/>
        <w:ind w:firstLine="640" w:firstLineChars="20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sz w:val="32"/>
          <w:szCs w:val="32"/>
        </w:rPr>
        <w:t>50</w:t>
      </w:r>
      <w:r>
        <w:rPr>
          <w:rFonts w:ascii="仿宋_GB2312" w:eastAsia="仿宋_GB2312" w:hAnsi="Times New Roman" w:cs="DengXian-Regular" w:hint="eastAsia"/>
          <w:sz w:val="32"/>
          <w:szCs w:val="32"/>
        </w:rPr>
        <w:t>万元以上通用设备</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台（套），比上年增加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套，主要是单位无价值</w:t>
      </w:r>
      <w:r>
        <w:rPr>
          <w:rFonts w:ascii="仿宋_GB2312" w:eastAsia="仿宋_GB2312" w:hAnsi="TimesNewRomanPSMT" w:cs="TimesNewRomanPSMT"/>
          <w:sz w:val="32"/>
          <w:szCs w:val="32"/>
        </w:rPr>
        <w:t>50</w:t>
      </w:r>
      <w:r>
        <w:rPr>
          <w:rFonts w:ascii="仿宋_GB2312" w:eastAsia="仿宋_GB2312" w:hAnsi="Times New Roman" w:cs="DengXian-Regular" w:hint="eastAsia"/>
          <w:sz w:val="32"/>
          <w:szCs w:val="32"/>
        </w:rPr>
        <w:t>万元以上通用设备，单位价值</w:t>
      </w:r>
      <w:r>
        <w:rPr>
          <w:rFonts w:ascii="仿宋_GB2312" w:eastAsia="仿宋_GB2312" w:hAnsi="TimesNewRomanPSMT" w:cs="TimesNewRomanPSMT"/>
          <w:sz w:val="32"/>
          <w:szCs w:val="32"/>
        </w:rPr>
        <w:t>100</w:t>
      </w:r>
      <w:r>
        <w:rPr>
          <w:rFonts w:ascii="仿宋_GB2312" w:eastAsia="仿宋_GB2312" w:hAnsi="Times New Roman" w:cs="DengXian-Regular" w:hint="eastAsia"/>
          <w:sz w:val="32"/>
          <w:szCs w:val="32"/>
        </w:rPr>
        <w:t>万元以上专用设备</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台（套）比上年增加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套，主要是单位无价值</w:t>
      </w:r>
      <w:r>
        <w:rPr>
          <w:rFonts w:ascii="仿宋_GB2312" w:eastAsia="仿宋_GB2312" w:hAnsi="TimesNewRomanPSMT" w:cs="TimesNewRomanPSMT"/>
          <w:sz w:val="32"/>
          <w:szCs w:val="32"/>
        </w:rPr>
        <w:t>100</w:t>
      </w:r>
      <w:r>
        <w:rPr>
          <w:rFonts w:ascii="仿宋_GB2312" w:eastAsia="仿宋_GB2312" w:hAnsi="Times New Roman" w:cs="DengXian-Regular" w:hint="eastAsia"/>
          <w:sz w:val="32"/>
          <w:szCs w:val="32"/>
        </w:rPr>
        <w:t>万元以上专用设备。</w:t>
      </w:r>
    </w:p>
    <w:p>
      <w:pPr>
        <w:keepNext/>
        <w:keepLines/>
        <w:snapToGrid w:val="0"/>
        <w:spacing w:line="580" w:lineRule="exact"/>
        <w:ind w:firstLine="640" w:firstLineChars="20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年度国有资本经营无收支及结转结余情况，故国有资本经营表以空表列示。</w:t>
      </w:r>
    </w:p>
    <w:p>
      <w:pPr>
        <w:adjustRightInd w:val="0"/>
        <w:snapToGrid w:val="0"/>
        <w:spacing w:line="580" w:lineRule="exact"/>
        <w:ind w:firstLine="640" w:firstLineChars="20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0" w:firstLineChars="200"/>
        <w:jc w:val="left"/>
        <w:rPr>
          <w:rFonts w:ascii="宋体" w:eastAsia="宋体" w:hAnsi="宋体" w:cs="MS-UIGothic,Bold"/>
          <w:b/>
          <w:bCs/>
          <w:kern w:val="0"/>
          <w:sz w:val="44"/>
          <w:szCs w:val="44"/>
        </w:rPr>
        <w:sectPr>
          <w:type w:val="continuous"/>
          <w:pgSz w:w="11906" w:h="16838"/>
          <w:pgMar w:top="2098" w:right="1474" w:bottom="1984" w:left="1588" w:header="851" w:footer="992" w:gutter="0"/>
          <w:pgNumType w:fmt="numberInDash"/>
          <w:cols w:num="1" w:space="0"/>
          <w:docGrid w:type="lines" w:linePitch="312" w:charSpace="0"/>
        </w:sectPr>
      </w:pPr>
    </w:p>
    <w:p>
      <w:pPr>
        <w:rPr>
          <w:rFonts w:ascii="黑体" w:eastAsia="黑体" w:hAnsi="黑体" w:cs="黑体"/>
          <w:sz w:val="56"/>
          <w:szCs w:val="72"/>
        </w:rPr>
        <w:sectPr>
          <w:type w:val="continuous"/>
          <w:pgSz w:w="11906" w:h="16838"/>
          <w:pgMar w:top="2041" w:right="1531" w:bottom="2041" w:left="1531" w:header="851" w:footer="992" w:gutter="0"/>
          <w:pgNumType w:fmt="numberInDash"/>
          <w:cols w:num="1" w:space="0"/>
          <w:titlePg/>
          <w:docGrid w:type="lines" w:linePitch="312" w:charSpace="0"/>
        </w:sectPr>
      </w:pPr>
    </w:p>
    <w:p>
      <w:pPr>
        <w:rPr>
          <w:rFonts w:ascii="黑体" w:eastAsia="黑体" w:hAnsi="黑体" w:cs="黑体"/>
          <w:sz w:val="56"/>
          <w:szCs w:val="72"/>
        </w:rPr>
        <w:sectPr>
          <w:type w:val="continuous"/>
          <w:pgSz w:w="11906" w:h="16838"/>
          <w:pgMar w:top="2041" w:right="1531" w:bottom="2041" w:left="1531" w:header="851" w:footer="992" w:gutter="0"/>
          <w:pgNumType w:fmt="numberInDash"/>
          <w:cols w:num="1" w:space="0"/>
          <w:titlePg/>
          <w:docGrid w:type="lines" w:linePitch="312" w:charSpace="0"/>
        </w:sectPr>
      </w:pPr>
    </w:p>
    <w:p>
      <w:pPr>
        <w:rPr>
          <w:rFonts w:ascii="黑体" w:eastAsia="黑体" w:hAnsi="黑体" w:cs="黑体"/>
          <w:sz w:val="56"/>
          <w:szCs w:val="72"/>
        </w:rPr>
      </w:pPr>
    </w:p>
    <w:p>
      <w:pPr>
        <w:rPr>
          <w:sz w:val="72"/>
        </w:rPr>
      </w:pPr>
      <w:r>
        <mc:AlternateContent>
          <mc:Choice Requires="wps">
            <w:drawing>
              <wp:anchor distT="0" distB="0" distL="114300" distR="114300" simplePos="0" relativeHeight="2516766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2" name="文本框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3355" cy="3341370"/>
                        </a:xfrm>
                        <a:prstGeom prst="rect">
                          <a:avLst/>
                        </a:prstGeom>
                        <a:pattFill prst="pct5">
                          <a:fgClr>
                            <a:srgbClr val="FFD966"/>
                          </a:fgClr>
                          <a:bgClr>
                            <a:srgbClr val="FFFFFF"/>
                          </a:bgClr>
                        </a:pattFill>
                        <a:ln w="6350">
                          <a:solidFill>
                            <a:srgbClr val="FFD966"/>
                          </a:solidFill>
                          <a:round/>
                          <a:headEnd/>
                          <a:tailEnd/>
                        </a:ln>
                      </wps:spPr>
                      <wps:txbx>
                        <w:txbxContent>
                          <w:p>
                            <w:pPr>
                              <w:widowControl/>
                              <w:jc w:val="center"/>
                            </w:pPr>
                            <w:r>
                              <w:rPr>
                                <w:rFonts w:ascii="黑体" w:eastAsia="黑体" w:hAnsi="黑体" w:cs="黑体" w:hint="eastAsia"/>
                                <w:color w:val="000000"/>
                                <w:sz w:val="90"/>
                                <w:szCs w:val="90"/>
                              </w:rPr>
                              <w:t>第三部分</w:t>
                            </w:r>
                            <w:r>
                              <w:rPr>
                                <w:rFonts w:ascii="黑体" w:eastAsia="黑体" w:hAnsi="黑体" w:cs="黑体"/>
                                <w:color w:val="000000"/>
                                <w:sz w:val="90"/>
                                <w:szCs w:val="90"/>
                              </w:rPr>
                              <w:t xml:space="preserve"> </w:t>
                            </w:r>
                            <w:r>
                              <w:rPr>
                                <w:rFonts w:ascii="黑体" w:eastAsia="黑体" w:hAnsi="黑体" w:cs="黑体" w:hint="eastAsia"/>
                                <w:color w:val="000000"/>
                                <w:sz w:val="90"/>
                                <w:szCs w:val="90"/>
                              </w:rPr>
                              <w:t>相关名词解释</w:t>
                            </w:r>
                          </w:p>
                        </w:txbxContent>
                      </wps:txbx>
                      <wps:bodyPr anchor="ctr" anchorCtr="0" upright="1"/>
                    </wps:wsp>
                  </a:graphicData>
                </a:graphic>
              </wp:anchor>
            </w:drawing>
          </mc:Choice>
          <mc:Fallback>
            <w:pict>
              <v:shape id="文本框 64" o:spid="_x0000_s1037" type="#_x0000_t202" style="width:613.65pt;height:263.1pt;margin-top:34.8pt;margin-left:-80.45pt;mso-height-relative:page;mso-width-relative:page;position:absolute;v-text-anchor:middle;z-index:251677696" coordsize="21600,21600" filled="t" fillcolor="#ffd966" stroked="t" strokecolor="#ffd966">
                <v:fill r:id="rId11" o:title="5%" color2="white" type="pattern"/>
                <v:stroke joinstyle="round"/>
                <o:lock v:ext="edit" aspectratio="f"/>
                <v:textbox>
                  <w:txbxContent>
                    <w:p>
                      <w:pPr>
                        <w:widowControl/>
                        <w:jc w:val="center"/>
                      </w:pPr>
                      <w:r>
                        <w:rPr>
                          <w:rFonts w:ascii="黑体" w:eastAsia="黑体" w:hAnsi="黑体" w:cs="黑体" w:hint="eastAsia"/>
                          <w:color w:val="000000"/>
                          <w:sz w:val="90"/>
                          <w:szCs w:val="90"/>
                        </w:rPr>
                        <w:t>第三部分</w:t>
                      </w:r>
                      <w:r>
                        <w:rPr>
                          <w:rFonts w:ascii="黑体" w:eastAsia="黑体" w:hAnsi="黑体" w:cs="黑体"/>
                          <w:color w:val="000000"/>
                          <w:sz w:val="90"/>
                          <w:szCs w:val="90"/>
                        </w:rPr>
                        <w:t xml:space="preserve"> </w:t>
                      </w:r>
                      <w:r>
                        <w:rPr>
                          <w:rFonts w:ascii="黑体" w:eastAsia="黑体" w:hAnsi="黑体" w:cs="黑体" w:hint="eastAsia"/>
                          <w:color w:val="000000"/>
                          <w:sz w:val="90"/>
                          <w:szCs w:val="90"/>
                        </w:rPr>
                        <w:t>相关名词解释</w:t>
                      </w:r>
                    </w:p>
                  </w:txbxContent>
                </v:textbox>
              </v:shape>
            </w:pict>
          </mc:Fallback>
        </mc:AlternateContent>
      </w:r>
    </w:p>
    <w:p/>
    <w:p/>
    <w:p/>
    <w:p/>
    <w:p/>
    <w:p/>
    <w:p/>
    <w:p/>
    <w:p/>
    <w:p/>
    <w:p/>
    <w:p/>
    <w:p/>
    <w:p>
      <w:pPr>
        <w:tabs>
          <w:tab w:val="left" w:pos="886"/>
        </w:tabs>
        <w:jc w:val="left"/>
        <w:sectPr>
          <w:headerReference w:type="first" r:id="rId17"/>
          <w:pgSz w:w="11906" w:h="16838"/>
          <w:pgMar w:top="2041" w:right="1531" w:bottom="2041" w:left="1531" w:header="851" w:footer="992" w:gutter="0"/>
          <w:pgNumType w:fmt="numberInDash"/>
          <w:cols w:num="1" w:space="0"/>
          <w:titlePg/>
          <w:docGrid w:type="lines" w:linePitch="312" w:charSpace="0"/>
        </w:sectPr>
      </w:pPr>
    </w:p>
    <w:p>
      <w:pPr>
        <w:rPr>
          <w:rFonts w:ascii="仿宋_GB2312" w:eastAsia="仿宋_GB2312" w:hAnsi="宋体" w:cs="ArialUnicodeMS"/>
          <w:sz w:val="32"/>
          <w:szCs w:val="32"/>
          <w:highlight w:val="yellow"/>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s="ArialUnicodeMS"/>
          <w:sz w:val="32"/>
          <w:szCs w:val="32"/>
        </w:rPr>
      </w:pP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pPr>
        <w:widowControl/>
        <w:spacing w:line="560" w:lineRule="exact"/>
        <w:ind w:firstLine="640" w:firstLineChars="20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p/>
    <w:p/>
    <w:p/>
    <w:p/>
    <w:p>
      <w:pPr>
        <w:jc w:val="left"/>
        <w:sectPr>
          <w:headerReference w:type="default" r:id="rId18"/>
          <w:type w:val="continuous"/>
          <w:pgSz w:w="11906" w:h="16838"/>
          <w:pgMar w:top="2098" w:right="1474" w:bottom="1985" w:left="1588" w:header="851" w:footer="992" w:gutter="0"/>
          <w:pgNumType w:fmt="numberInDash"/>
          <w:cols w:num="1" w:space="425"/>
          <w:docGrid w:type="lines" w:linePitch="312" w:charSpace="0"/>
        </w:sectPr>
      </w:pPr>
    </w:p>
    <w:p>
      <w:pPr>
        <w:tabs>
          <w:tab w:val="left" w:pos="235"/>
        </w:tabs>
        <w:jc w:val="left"/>
        <w:sectPr>
          <w:pgSz w:w="11906" w:h="16838"/>
          <w:pgMar w:top="2098" w:right="1474" w:bottom="1985" w:left="1588" w:header="851" w:footer="992" w:gutter="0"/>
          <w:pgNumType w:fmt="numberInDash"/>
          <w:cols w:num="1" w:space="425"/>
          <w:docGrid w:type="lines" w:linePitch="312" w:charSpace="0"/>
        </w:sectPr>
      </w:pPr>
      <w:r>
        <mc:AlternateContent>
          <mc:Choice Requires="wps">
            <w:drawing>
              <wp:anchor distT="0" distB="0" distL="114300" distR="114300" simplePos="0" relativeHeight="251686912"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9" name="文本框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3355" cy="3341370"/>
                        </a:xfrm>
                        <a:prstGeom prst="rect">
                          <a:avLst/>
                        </a:prstGeom>
                        <a:pattFill prst="pct5">
                          <a:fgClr>
                            <a:srgbClr val="FFD966"/>
                          </a:fgClr>
                          <a:bgClr>
                            <a:srgbClr val="FFFFFF"/>
                          </a:bgClr>
                        </a:pattFill>
                        <a:ln w="6350">
                          <a:solidFill>
                            <a:srgbClr val="FFD966"/>
                          </a:solidFill>
                          <a:round/>
                          <a:headEnd/>
                          <a:tailEnd/>
                        </a:ln>
                      </wps:spPr>
                      <wps:txbx>
                        <w:txbxContent>
                          <w:p>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第四部分</w:t>
                            </w:r>
                            <w:r>
                              <w:rPr>
                                <w:rFonts w:ascii="黑体" w:eastAsia="黑体" w:hAnsi="黑体" w:cs="黑体"/>
                                <w:color w:val="000000"/>
                                <w:sz w:val="90"/>
                                <w:szCs w:val="90"/>
                              </w:rPr>
                              <w:t xml:space="preserve"> </w:t>
                            </w:r>
                          </w:p>
                          <w:p>
                            <w:pPr>
                              <w:widowControl/>
                              <w:jc w:val="center"/>
                            </w:pPr>
                            <w:r>
                              <w:rPr>
                                <w:rFonts w:ascii="黑体" w:eastAsia="黑体" w:hAnsi="黑体" w:cs="黑体"/>
                                <w:color w:val="000000"/>
                                <w:sz w:val="90"/>
                                <w:szCs w:val="90"/>
                              </w:rPr>
                              <w:t>2019</w:t>
                            </w:r>
                            <w:r>
                              <w:rPr>
                                <w:rFonts w:ascii="黑体" w:eastAsia="黑体" w:hAnsi="黑体" w:cs="黑体" w:hint="eastAsia"/>
                                <w:color w:val="000000"/>
                                <w:sz w:val="90"/>
                                <w:szCs w:val="90"/>
                              </w:rPr>
                              <w:t>年度部门决算报表</w:t>
                            </w:r>
                          </w:p>
                        </w:txbxContent>
                      </wps:txbx>
                      <wps:bodyPr anchor="ctr" anchorCtr="0" upright="1"/>
                    </wps:wsp>
                  </a:graphicData>
                </a:graphic>
              </wp:anchor>
            </w:drawing>
          </mc:Choice>
          <mc:Fallback>
            <w:pict>
              <v:shape id="文本框 65" o:spid="_x0000_s1038" type="#_x0000_t202" style="width:613.65pt;height:263.1pt;margin-top:135.85pt;margin-left:-82.05pt;mso-height-relative:page;mso-width-relative:page;position:absolute;v-text-anchor:middle;z-index:-251628544" coordsize="21600,21600" filled="t" fillcolor="#ffd966" stroked="t" strokecolor="#ffd966">
                <v:fill r:id="rId11" o:title="5%" color2="white" type="pattern"/>
                <v:stroke joinstyle="round"/>
                <o:lock v:ext="edit" aspectratio="f"/>
                <v:textbox>
                  <w:txbxContent>
                    <w:p>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第四部分</w:t>
                      </w:r>
                      <w:r>
                        <w:rPr>
                          <w:rFonts w:ascii="黑体" w:eastAsia="黑体" w:hAnsi="黑体" w:cs="黑体"/>
                          <w:color w:val="000000"/>
                          <w:sz w:val="90"/>
                          <w:szCs w:val="90"/>
                        </w:rPr>
                        <w:t xml:space="preserve"> </w:t>
                      </w:r>
                    </w:p>
                    <w:p>
                      <w:pPr>
                        <w:widowControl/>
                        <w:jc w:val="center"/>
                      </w:pPr>
                      <w:r>
                        <w:rPr>
                          <w:rFonts w:ascii="黑体" w:eastAsia="黑体" w:hAnsi="黑体" w:cs="黑体"/>
                          <w:color w:val="000000"/>
                          <w:sz w:val="90"/>
                          <w:szCs w:val="90"/>
                        </w:rPr>
                        <w:t>2019</w:t>
                      </w:r>
                      <w:r>
                        <w:rPr>
                          <w:rFonts w:ascii="黑体" w:eastAsia="黑体" w:hAnsi="黑体" w:cs="黑体" w:hint="eastAsia"/>
                          <w:color w:val="000000"/>
                          <w:sz w:val="90"/>
                          <w:szCs w:val="90"/>
                        </w:rPr>
                        <w:t>年度部门决算报表</w:t>
                      </w:r>
                    </w:p>
                  </w:txbxContent>
                </v:textbox>
              </v:shape>
            </w:pict>
          </mc:Fallback>
        </mc:AlternateContent>
      </w:r>
    </w:p>
    <w:tbl>
      <w:tblPr>
        <w:tblStyle w:val="TableNormal"/>
        <w:tblW w:w="8674" w:type="dxa"/>
        <w:tblInd w:w="91" w:type="dxa"/>
        <w:tblCellMar>
          <w:top w:w="0" w:type="dxa"/>
          <w:left w:w="108" w:type="dxa"/>
          <w:bottom w:w="0" w:type="dxa"/>
          <w:right w:w="108" w:type="dxa"/>
        </w:tblCellMar>
      </w:tblPr>
      <w:tblGrid>
        <w:gridCol w:w="3117"/>
        <w:gridCol w:w="445"/>
        <w:gridCol w:w="876"/>
        <w:gridCol w:w="3117"/>
        <w:gridCol w:w="546"/>
        <w:gridCol w:w="876"/>
      </w:tblGrid>
      <w:tr>
        <w:tblPrEx>
          <w:tblW w:w="8674" w:type="dxa"/>
          <w:tblInd w:w="91" w:type="dxa"/>
          <w:tblCellMar>
            <w:top w:w="0" w:type="dxa"/>
            <w:left w:w="108" w:type="dxa"/>
            <w:bottom w:w="0" w:type="dxa"/>
            <w:right w:w="108" w:type="dxa"/>
          </w:tblCellMar>
        </w:tblPrEx>
        <w:trPr>
          <w:trHeight w:val="390"/>
        </w:trPr>
        <w:tc>
          <w:tcPr>
            <w:tcW w:w="8674" w:type="dxa"/>
            <w:gridSpan w:val="6"/>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收入支出决算总表</w:t>
            </w:r>
          </w:p>
        </w:tc>
      </w:tr>
      <w:tr>
        <w:tblPrEx>
          <w:tblW w:w="8674" w:type="dxa"/>
          <w:tblInd w:w="91" w:type="dxa"/>
          <w:tblCellMar>
            <w:top w:w="0" w:type="dxa"/>
            <w:left w:w="108" w:type="dxa"/>
            <w:bottom w:w="0" w:type="dxa"/>
            <w:right w:w="108" w:type="dxa"/>
          </w:tblCellMar>
        </w:tblPrEx>
        <w:trPr>
          <w:trHeight w:val="255"/>
        </w:trPr>
        <w:tc>
          <w:tcPr>
            <w:tcW w:w="3117"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445"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5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117"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344" w:type="dxa"/>
            <w:gridSpan w:val="2"/>
            <w:tcBorders>
              <w:top w:val="nil"/>
              <w:left w:val="nil"/>
              <w:bottom w:val="nil"/>
              <w:right w:val="nil"/>
            </w:tcBorders>
            <w:shd w:val="clear" w:color="auto" w:fill="auto"/>
            <w:noWrap/>
            <w:vAlign w:val="bottom"/>
          </w:tcPr>
          <w:p>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公开01表</w:t>
            </w:r>
          </w:p>
        </w:tc>
      </w:tr>
      <w:tr>
        <w:tblPrEx>
          <w:tblW w:w="8674" w:type="dxa"/>
          <w:tblInd w:w="91" w:type="dxa"/>
          <w:tblCellMar>
            <w:top w:w="0" w:type="dxa"/>
            <w:left w:w="108" w:type="dxa"/>
            <w:bottom w:w="0" w:type="dxa"/>
            <w:right w:w="108" w:type="dxa"/>
          </w:tblCellMar>
        </w:tblPrEx>
        <w:trPr>
          <w:trHeight w:val="255"/>
        </w:trPr>
        <w:tc>
          <w:tcPr>
            <w:tcW w:w="7330" w:type="dxa"/>
            <w:gridSpan w:val="4"/>
            <w:tcBorders>
              <w:top w:val="nil"/>
              <w:left w:val="nil"/>
              <w:bottom w:val="nil"/>
              <w:right w:val="nil"/>
            </w:tcBorders>
            <w:shd w:val="clear" w:color="auto" w:fill="auto"/>
            <w:noWrap/>
            <w:vAlign w:val="bottom"/>
          </w:tcPr>
          <w:p>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1344" w:type="dxa"/>
            <w:gridSpan w:val="2"/>
            <w:tcBorders>
              <w:top w:val="nil"/>
              <w:left w:val="nil"/>
              <w:bottom w:val="nil"/>
              <w:right w:val="nil"/>
            </w:tcBorders>
            <w:shd w:val="clear" w:color="auto" w:fill="auto"/>
            <w:noWrap/>
            <w:vAlign w:val="bottom"/>
          </w:tcPr>
          <w:p>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8674" w:type="dxa"/>
          <w:tblInd w:w="91" w:type="dxa"/>
          <w:tblCellMar>
            <w:top w:w="0" w:type="dxa"/>
            <w:left w:w="108" w:type="dxa"/>
            <w:bottom w:w="0" w:type="dxa"/>
            <w:right w:w="108" w:type="dxa"/>
          </w:tblCellMar>
        </w:tblPrEx>
        <w:trPr>
          <w:trHeight w:val="308"/>
        </w:trPr>
        <w:tc>
          <w:tcPr>
            <w:tcW w:w="4213"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收入</w:t>
            </w:r>
          </w:p>
        </w:tc>
        <w:tc>
          <w:tcPr>
            <w:tcW w:w="4461" w:type="dxa"/>
            <w:gridSpan w:val="3"/>
            <w:tcBorders>
              <w:top w:val="single" w:sz="4" w:space="0" w:color="000000"/>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支出</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79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p>
        </w:tc>
        <w:tc>
          <w:tcPr>
            <w:tcW w:w="79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573.36</w:t>
            </w: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三、上级补助收入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四、事业收入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506.89</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五、经营收入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六、附属单位上缴收入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七、其他收入</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十四、资源勘探信息等支出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二十一、灾害防治及应急管理支出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二十二、其他支出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二十四、债务付息支出</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573.36</w:t>
            </w: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575.09</w:t>
            </w: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用事业基金弥补收支差额</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结余分配</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年初结转和结余</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w:t>
            </w: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311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4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65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575.09</w:t>
            </w:r>
          </w:p>
        </w:tc>
        <w:tc>
          <w:tcPr>
            <w:tcW w:w="3117"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79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575.09</w:t>
            </w:r>
          </w:p>
        </w:tc>
      </w:tr>
      <w:tr>
        <w:tblPrEx>
          <w:tblW w:w="8674" w:type="dxa"/>
          <w:tblInd w:w="91" w:type="dxa"/>
          <w:tblCellMar>
            <w:top w:w="0" w:type="dxa"/>
            <w:left w:w="108" w:type="dxa"/>
            <w:bottom w:w="0" w:type="dxa"/>
            <w:right w:w="108" w:type="dxa"/>
          </w:tblCellMar>
        </w:tblPrEx>
        <w:trPr>
          <w:trHeight w:val="308"/>
        </w:trPr>
        <w:tc>
          <w:tcPr>
            <w:tcW w:w="8674" w:type="dxa"/>
            <w:gridSpan w:val="6"/>
            <w:tcBorders>
              <w:top w:val="nil"/>
              <w:left w:val="nil"/>
              <w:bottom w:val="nil"/>
              <w:right w:val="nil"/>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注：本表反映部门本年度的总收支和年末结转结余情况。</w:t>
            </w:r>
          </w:p>
        </w:tc>
      </w:tr>
    </w:tbl>
    <w:p/>
    <w:tbl>
      <w:tblPr>
        <w:tblStyle w:val="TableNormal"/>
        <w:tblW w:w="8830" w:type="dxa"/>
        <w:tblInd w:w="91" w:type="dxa"/>
        <w:tblCellMar>
          <w:top w:w="0" w:type="dxa"/>
          <w:left w:w="108" w:type="dxa"/>
          <w:bottom w:w="0" w:type="dxa"/>
          <w:right w:w="108" w:type="dxa"/>
        </w:tblCellMar>
      </w:tblPr>
      <w:tblGrid>
        <w:gridCol w:w="550"/>
        <w:gridCol w:w="436"/>
        <w:gridCol w:w="271"/>
        <w:gridCol w:w="1725"/>
        <w:gridCol w:w="992"/>
        <w:gridCol w:w="992"/>
        <w:gridCol w:w="65"/>
        <w:gridCol w:w="236"/>
        <w:gridCol w:w="833"/>
        <w:gridCol w:w="709"/>
        <w:gridCol w:w="709"/>
        <w:gridCol w:w="708"/>
        <w:gridCol w:w="875"/>
      </w:tblGrid>
      <w:tr>
        <w:tblPrEx>
          <w:tblW w:w="8830" w:type="dxa"/>
          <w:tblInd w:w="91" w:type="dxa"/>
          <w:tblCellMar>
            <w:top w:w="0" w:type="dxa"/>
            <w:left w:w="108" w:type="dxa"/>
            <w:bottom w:w="0" w:type="dxa"/>
            <w:right w:w="108" w:type="dxa"/>
          </w:tblCellMar>
        </w:tblPrEx>
        <w:trPr>
          <w:trHeight w:val="390"/>
        </w:trPr>
        <w:tc>
          <w:tcPr>
            <w:tcW w:w="8830" w:type="dxa"/>
            <w:gridSpan w:val="1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收入决算表</w:t>
            </w:r>
          </w:p>
        </w:tc>
      </w:tr>
      <w:tr>
        <w:tblPrEx>
          <w:tblW w:w="8830" w:type="dxa"/>
          <w:tblInd w:w="91" w:type="dxa"/>
          <w:tblCellMar>
            <w:top w:w="0" w:type="dxa"/>
            <w:left w:w="108" w:type="dxa"/>
            <w:bottom w:w="0" w:type="dxa"/>
            <w:right w:w="108" w:type="dxa"/>
          </w:tblCellMar>
        </w:tblPrEx>
        <w:trPr>
          <w:trHeight w:val="255"/>
        </w:trPr>
        <w:tc>
          <w:tcPr>
            <w:tcW w:w="39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16"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774" w:type="dxa"/>
            <w:gridSpan w:val="4"/>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833"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292"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公开02表</w:t>
            </w:r>
          </w:p>
        </w:tc>
      </w:tr>
      <w:tr>
        <w:tblPrEx>
          <w:tblW w:w="8830" w:type="dxa"/>
          <w:tblInd w:w="91" w:type="dxa"/>
          <w:tblCellMar>
            <w:top w:w="0" w:type="dxa"/>
            <w:left w:w="108" w:type="dxa"/>
            <w:bottom w:w="0" w:type="dxa"/>
            <w:right w:w="108" w:type="dxa"/>
          </w:tblCellMar>
        </w:tblPrEx>
        <w:trPr>
          <w:trHeight w:val="255"/>
        </w:trPr>
        <w:tc>
          <w:tcPr>
            <w:tcW w:w="4695" w:type="dxa"/>
            <w:gridSpan w:val="6"/>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1134" w:type="dxa"/>
            <w:gridSpan w:val="3"/>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292"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8830" w:type="dxa"/>
          <w:tblInd w:w="91" w:type="dxa"/>
          <w:tblCellMar>
            <w:top w:w="0" w:type="dxa"/>
            <w:left w:w="108" w:type="dxa"/>
            <w:bottom w:w="0" w:type="dxa"/>
            <w:right w:w="108" w:type="dxa"/>
          </w:tblCellMar>
        </w:tblPrEx>
        <w:trPr>
          <w:trHeight w:val="308"/>
        </w:trPr>
        <w:tc>
          <w:tcPr>
            <w:tcW w:w="271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992"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本年收入合计</w:t>
            </w:r>
          </w:p>
        </w:tc>
        <w:tc>
          <w:tcPr>
            <w:tcW w:w="992"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财政拨款收入</w:t>
            </w:r>
          </w:p>
        </w:tc>
        <w:tc>
          <w:tcPr>
            <w:tcW w:w="1134" w:type="dxa"/>
            <w:gridSpan w:val="3"/>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上级补助收入</w:t>
            </w:r>
          </w:p>
        </w:tc>
        <w:tc>
          <w:tcPr>
            <w:tcW w:w="709"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事业收入</w:t>
            </w:r>
          </w:p>
        </w:tc>
        <w:tc>
          <w:tcPr>
            <w:tcW w:w="709"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经营收入</w:t>
            </w:r>
          </w:p>
        </w:tc>
        <w:tc>
          <w:tcPr>
            <w:tcW w:w="708"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附属单位上缴收入</w:t>
            </w:r>
          </w:p>
        </w:tc>
        <w:tc>
          <w:tcPr>
            <w:tcW w:w="875"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其他收入</w:t>
            </w:r>
          </w:p>
        </w:tc>
      </w:tr>
      <w:tr>
        <w:tblPrEx>
          <w:tblW w:w="8830" w:type="dxa"/>
          <w:tblInd w:w="91" w:type="dxa"/>
          <w:tblCellMar>
            <w:top w:w="0" w:type="dxa"/>
            <w:left w:w="108" w:type="dxa"/>
            <w:bottom w:w="0" w:type="dxa"/>
            <w:right w:w="108" w:type="dxa"/>
          </w:tblCellMar>
        </w:tblPrEx>
        <w:trPr>
          <w:trHeight w:val="312"/>
        </w:trPr>
        <w:tc>
          <w:tcPr>
            <w:tcW w:w="98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1725" w:type="dxa"/>
            <w:vMerge w:val="restart"/>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99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134" w:type="dxa"/>
            <w:gridSpan w:val="3"/>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9"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9"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875"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12"/>
        </w:trPr>
        <w:tc>
          <w:tcPr>
            <w:tcW w:w="986"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725"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134" w:type="dxa"/>
            <w:gridSpan w:val="3"/>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9"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9"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875"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12"/>
        </w:trPr>
        <w:tc>
          <w:tcPr>
            <w:tcW w:w="986"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725"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134" w:type="dxa"/>
            <w:gridSpan w:val="3"/>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9"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9"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875"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2711"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992"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992"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134" w:type="dxa"/>
            <w:gridSpan w:val="3"/>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709"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709"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708"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875"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r>
      <w:tr>
        <w:tblPrEx>
          <w:tblW w:w="8830" w:type="dxa"/>
          <w:tblInd w:w="91" w:type="dxa"/>
          <w:tblCellMar>
            <w:top w:w="0" w:type="dxa"/>
            <w:left w:w="108" w:type="dxa"/>
            <w:bottom w:w="0" w:type="dxa"/>
            <w:right w:w="108" w:type="dxa"/>
          </w:tblCellMar>
        </w:tblPrEx>
        <w:trPr>
          <w:trHeight w:val="308"/>
        </w:trPr>
        <w:tc>
          <w:tcPr>
            <w:tcW w:w="2711"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573.36</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573.36</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公共安全支出</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公安</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2040201</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行政事业单位离退休</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41.35</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41.35</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2080501</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归口管理的行政单位离退休</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18.39</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18.39</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机关事业单位基本养老保险缴费支出</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2080802</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伤残抚恤</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行政单位医疗</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715"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1996"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99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1134"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9"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0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8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830" w:type="dxa"/>
          <w:tblInd w:w="91" w:type="dxa"/>
          <w:tblCellMar>
            <w:top w:w="0" w:type="dxa"/>
            <w:left w:w="108" w:type="dxa"/>
            <w:bottom w:w="0" w:type="dxa"/>
            <w:right w:w="108" w:type="dxa"/>
          </w:tblCellMar>
        </w:tblPrEx>
        <w:trPr>
          <w:trHeight w:val="308"/>
        </w:trPr>
        <w:tc>
          <w:tcPr>
            <w:tcW w:w="8830" w:type="dxa"/>
            <w:gridSpan w:val="13"/>
            <w:tcBorders>
              <w:top w:val="nil"/>
              <w:left w:val="nil"/>
              <w:bottom w:val="nil"/>
              <w:right w:val="nil"/>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注：本表反映部门本年度取得的各项收入情况。</w:t>
            </w:r>
          </w:p>
        </w:tc>
      </w:tr>
    </w:tbl>
    <w:p/>
    <w:p/>
    <w:tbl>
      <w:tblPr>
        <w:tblStyle w:val="TableNormal"/>
        <w:tblW w:w="8674" w:type="dxa"/>
        <w:tblInd w:w="91" w:type="dxa"/>
        <w:tblCellMar>
          <w:top w:w="0" w:type="dxa"/>
          <w:left w:w="108" w:type="dxa"/>
          <w:bottom w:w="0" w:type="dxa"/>
          <w:right w:w="108" w:type="dxa"/>
        </w:tblCellMar>
      </w:tblPr>
      <w:tblGrid>
        <w:gridCol w:w="2315"/>
        <w:gridCol w:w="221"/>
        <w:gridCol w:w="221"/>
        <w:gridCol w:w="3073"/>
        <w:gridCol w:w="826"/>
        <w:gridCol w:w="826"/>
        <w:gridCol w:w="417"/>
        <w:gridCol w:w="464"/>
        <w:gridCol w:w="417"/>
        <w:gridCol w:w="417"/>
      </w:tblGrid>
      <w:tr>
        <w:tblPrEx>
          <w:tblW w:w="8674" w:type="dxa"/>
          <w:tblInd w:w="91" w:type="dxa"/>
          <w:tblCellMar>
            <w:top w:w="0" w:type="dxa"/>
            <w:left w:w="108" w:type="dxa"/>
            <w:bottom w:w="0" w:type="dxa"/>
            <w:right w:w="108" w:type="dxa"/>
          </w:tblCellMar>
        </w:tblPrEx>
        <w:trPr>
          <w:trHeight w:val="390"/>
        </w:trPr>
        <w:tc>
          <w:tcPr>
            <w:tcW w:w="8674" w:type="dxa"/>
            <w:gridSpan w:val="10"/>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支出决算表</w:t>
            </w:r>
          </w:p>
        </w:tc>
      </w:tr>
      <w:tr>
        <w:tblPrEx>
          <w:tblW w:w="8674" w:type="dxa"/>
          <w:tblInd w:w="91" w:type="dxa"/>
          <w:tblCellMar>
            <w:top w:w="0" w:type="dxa"/>
            <w:left w:w="108" w:type="dxa"/>
            <w:bottom w:w="0" w:type="dxa"/>
            <w:right w:w="108" w:type="dxa"/>
          </w:tblCellMar>
        </w:tblPrEx>
        <w:trPr>
          <w:trHeight w:val="255"/>
        </w:trPr>
        <w:tc>
          <w:tcPr>
            <w:tcW w:w="2508"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337"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244" w:type="dxa"/>
            <w:gridSpan w:val="2"/>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28"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279"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公开03表</w:t>
            </w:r>
          </w:p>
        </w:tc>
      </w:tr>
      <w:tr>
        <w:tblPrEx>
          <w:tblW w:w="8674" w:type="dxa"/>
          <w:tblInd w:w="91" w:type="dxa"/>
          <w:tblCellMar>
            <w:top w:w="0" w:type="dxa"/>
            <w:left w:w="108" w:type="dxa"/>
            <w:bottom w:w="0" w:type="dxa"/>
            <w:right w:w="108" w:type="dxa"/>
          </w:tblCellMar>
        </w:tblPrEx>
        <w:trPr>
          <w:trHeight w:val="255"/>
        </w:trPr>
        <w:tc>
          <w:tcPr>
            <w:tcW w:w="2508" w:type="dxa"/>
            <w:tcBorders>
              <w:top w:val="nil"/>
              <w:left w:val="nil"/>
              <w:bottom w:val="nil"/>
              <w:right w:val="nil"/>
            </w:tcBorders>
            <w:shd w:val="clear" w:color="auto" w:fill="auto"/>
            <w:noWrap/>
            <w:vAlign w:val="bottom"/>
          </w:tcPr>
          <w:p>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39" w:type="dxa"/>
            <w:tcBorders>
              <w:top w:val="nil"/>
              <w:left w:val="nil"/>
              <w:bottom w:val="nil"/>
              <w:right w:val="nil"/>
            </w:tcBorders>
            <w:shd w:val="clear" w:color="auto" w:fill="auto"/>
            <w:noWrap/>
            <w:vAlign w:val="bottom"/>
          </w:tcPr>
          <w:p>
            <w:pPr>
              <w:widowControl/>
              <w:jc w:val="left"/>
              <w:rPr>
                <w:rFonts w:ascii="宋体" w:eastAsia="宋体" w:hAnsi="宋体" w:cs="Arial"/>
                <w:color w:val="000000"/>
                <w:kern w:val="0"/>
                <w:sz w:val="20"/>
                <w:szCs w:val="20"/>
              </w:rPr>
            </w:pPr>
          </w:p>
        </w:tc>
        <w:tc>
          <w:tcPr>
            <w:tcW w:w="39" w:type="dxa"/>
            <w:tcBorders>
              <w:top w:val="nil"/>
              <w:left w:val="nil"/>
              <w:bottom w:val="nil"/>
              <w:right w:val="nil"/>
            </w:tcBorders>
            <w:shd w:val="clear" w:color="auto" w:fill="auto"/>
            <w:noWrap/>
            <w:vAlign w:val="bottom"/>
          </w:tcPr>
          <w:p>
            <w:pPr>
              <w:widowControl/>
              <w:jc w:val="left"/>
              <w:rPr>
                <w:rFonts w:ascii="宋体" w:eastAsia="宋体" w:hAnsi="宋体" w:cs="Arial"/>
                <w:color w:val="000000"/>
                <w:kern w:val="0"/>
                <w:sz w:val="20"/>
                <w:szCs w:val="20"/>
              </w:rPr>
            </w:pPr>
          </w:p>
        </w:tc>
        <w:tc>
          <w:tcPr>
            <w:tcW w:w="3337" w:type="dxa"/>
            <w:tcBorders>
              <w:top w:val="nil"/>
              <w:left w:val="nil"/>
              <w:bottom w:val="nil"/>
              <w:right w:val="nil"/>
            </w:tcBorders>
            <w:shd w:val="clear" w:color="auto" w:fill="auto"/>
            <w:noWrap/>
            <w:vAlign w:val="bottom"/>
          </w:tcPr>
          <w:p>
            <w:pPr>
              <w:widowControl/>
              <w:jc w:val="left"/>
              <w:rPr>
                <w:rFonts w:ascii="宋体" w:eastAsia="宋体" w:hAnsi="宋体" w:cs="Arial"/>
                <w:color w:val="000000"/>
                <w:kern w:val="0"/>
                <w:sz w:val="20"/>
                <w:szCs w:val="20"/>
              </w:rPr>
            </w:pPr>
          </w:p>
        </w:tc>
        <w:tc>
          <w:tcPr>
            <w:tcW w:w="622"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22"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28"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279"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8674" w:type="dxa"/>
          <w:tblInd w:w="91" w:type="dxa"/>
          <w:tblCellMar>
            <w:top w:w="0" w:type="dxa"/>
            <w:left w:w="108" w:type="dxa"/>
            <w:bottom w:w="0" w:type="dxa"/>
            <w:right w:w="108" w:type="dxa"/>
          </w:tblCellMar>
        </w:tblPrEx>
        <w:trPr>
          <w:trHeight w:val="308"/>
        </w:trPr>
        <w:tc>
          <w:tcPr>
            <w:tcW w:w="5923"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622"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本年支出合计</w:t>
            </w:r>
          </w:p>
        </w:tc>
        <w:tc>
          <w:tcPr>
            <w:tcW w:w="622"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228"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487"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上缴上级支出</w:t>
            </w:r>
          </w:p>
        </w:tc>
        <w:tc>
          <w:tcPr>
            <w:tcW w:w="418"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经营支出</w:t>
            </w:r>
          </w:p>
        </w:tc>
        <w:tc>
          <w:tcPr>
            <w:tcW w:w="374"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对附属单位补助支出</w:t>
            </w:r>
          </w:p>
        </w:tc>
      </w:tr>
      <w:tr>
        <w:tblPrEx>
          <w:tblW w:w="8674" w:type="dxa"/>
          <w:tblInd w:w="91" w:type="dxa"/>
          <w:tblCellMar>
            <w:top w:w="0" w:type="dxa"/>
            <w:left w:w="108" w:type="dxa"/>
            <w:bottom w:w="0" w:type="dxa"/>
            <w:right w:w="108" w:type="dxa"/>
          </w:tblCellMar>
        </w:tblPrEx>
        <w:trPr>
          <w:trHeight w:val="312"/>
        </w:trPr>
        <w:tc>
          <w:tcPr>
            <w:tcW w:w="258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3337" w:type="dxa"/>
            <w:vMerge w:val="restart"/>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62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2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2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87"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1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74"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12"/>
        </w:trPr>
        <w:tc>
          <w:tcPr>
            <w:tcW w:w="2586"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337"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2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2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2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87"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1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74"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12"/>
        </w:trPr>
        <w:tc>
          <w:tcPr>
            <w:tcW w:w="2586"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337"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2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22"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2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87"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1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74"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5923"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622"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622"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228"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487"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418"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374"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r>
      <w:tr>
        <w:tblPrEx>
          <w:tblW w:w="8674" w:type="dxa"/>
          <w:tblInd w:w="91" w:type="dxa"/>
          <w:tblCellMar>
            <w:top w:w="0" w:type="dxa"/>
            <w:left w:w="108" w:type="dxa"/>
            <w:bottom w:w="0" w:type="dxa"/>
            <w:right w:w="108" w:type="dxa"/>
          </w:tblCellMar>
        </w:tblPrEx>
        <w:trPr>
          <w:trHeight w:val="308"/>
        </w:trPr>
        <w:tc>
          <w:tcPr>
            <w:tcW w:w="5923"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575.09</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575.09</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公共安全支出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506.89</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506.89</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公安</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2040201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20499</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其他公共安全支出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2049901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其他公共安全支出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行政事业单位离退休</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41.35</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41.35</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归口管理的行政单位离退休</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18.39</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18.39</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2080802</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伤残抚恤</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行政单位医疗</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2586"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333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62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22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8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41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37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8674" w:type="dxa"/>
          <w:tblInd w:w="91" w:type="dxa"/>
          <w:tblCellMar>
            <w:top w:w="0" w:type="dxa"/>
            <w:left w:w="108" w:type="dxa"/>
            <w:bottom w:w="0" w:type="dxa"/>
            <w:right w:w="108" w:type="dxa"/>
          </w:tblCellMar>
        </w:tblPrEx>
        <w:trPr>
          <w:trHeight w:val="308"/>
        </w:trPr>
        <w:tc>
          <w:tcPr>
            <w:tcW w:w="8674" w:type="dxa"/>
            <w:gridSpan w:val="10"/>
            <w:tcBorders>
              <w:top w:val="nil"/>
              <w:left w:val="nil"/>
              <w:bottom w:val="nil"/>
              <w:right w:val="nil"/>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注：本表反映部门本年度各项支出情况。</w:t>
            </w:r>
          </w:p>
        </w:tc>
      </w:tr>
    </w:tbl>
    <w:p/>
    <w:p/>
    <w:p/>
    <w:tbl>
      <w:tblPr>
        <w:tblStyle w:val="TableNormal"/>
        <w:tblW w:w="9197" w:type="dxa"/>
        <w:tblInd w:w="91" w:type="dxa"/>
        <w:tblCellMar>
          <w:top w:w="0" w:type="dxa"/>
          <w:left w:w="108" w:type="dxa"/>
          <w:bottom w:w="0" w:type="dxa"/>
          <w:right w:w="108" w:type="dxa"/>
        </w:tblCellMar>
      </w:tblPr>
      <w:tblGrid>
        <w:gridCol w:w="2377"/>
        <w:gridCol w:w="475"/>
        <w:gridCol w:w="865"/>
        <w:gridCol w:w="408"/>
        <w:gridCol w:w="1704"/>
        <w:gridCol w:w="626"/>
        <w:gridCol w:w="1075"/>
        <w:gridCol w:w="254"/>
        <w:gridCol w:w="876"/>
        <w:gridCol w:w="537"/>
      </w:tblGrid>
      <w:tr>
        <w:tblPrEx>
          <w:tblW w:w="9197" w:type="dxa"/>
          <w:tblInd w:w="91" w:type="dxa"/>
          <w:tblCellMar>
            <w:top w:w="0" w:type="dxa"/>
            <w:left w:w="108" w:type="dxa"/>
            <w:bottom w:w="0" w:type="dxa"/>
            <w:right w:w="108" w:type="dxa"/>
          </w:tblCellMar>
        </w:tblPrEx>
        <w:trPr>
          <w:trHeight w:val="390"/>
        </w:trPr>
        <w:tc>
          <w:tcPr>
            <w:tcW w:w="9197" w:type="dxa"/>
            <w:gridSpan w:val="10"/>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财政拨款收入支出决算总表</w:t>
            </w:r>
          </w:p>
        </w:tc>
      </w:tr>
      <w:tr>
        <w:tblPrEx>
          <w:tblW w:w="9197" w:type="dxa"/>
          <w:tblInd w:w="91" w:type="dxa"/>
          <w:tblCellMar>
            <w:top w:w="0" w:type="dxa"/>
            <w:left w:w="108" w:type="dxa"/>
            <w:bottom w:w="0" w:type="dxa"/>
            <w:right w:w="108" w:type="dxa"/>
          </w:tblCellMar>
        </w:tblPrEx>
        <w:trPr>
          <w:trHeight w:val="255"/>
        </w:trPr>
        <w:tc>
          <w:tcPr>
            <w:tcW w:w="2377"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475"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865"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738" w:type="dxa"/>
            <w:gridSpan w:val="3"/>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742" w:type="dxa"/>
            <w:gridSpan w:val="4"/>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公开04表</w:t>
            </w:r>
          </w:p>
        </w:tc>
      </w:tr>
      <w:tr>
        <w:tblPrEx>
          <w:tblW w:w="9197" w:type="dxa"/>
          <w:tblInd w:w="91" w:type="dxa"/>
          <w:tblCellMar>
            <w:top w:w="0" w:type="dxa"/>
            <w:left w:w="108" w:type="dxa"/>
            <w:bottom w:w="0" w:type="dxa"/>
            <w:right w:w="108" w:type="dxa"/>
          </w:tblCellMar>
        </w:tblPrEx>
        <w:trPr>
          <w:trHeight w:val="255"/>
        </w:trPr>
        <w:tc>
          <w:tcPr>
            <w:tcW w:w="6455" w:type="dxa"/>
            <w:gridSpan w:val="6"/>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1329" w:type="dxa"/>
            <w:gridSpan w:val="2"/>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413" w:type="dxa"/>
            <w:gridSpan w:val="2"/>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9197" w:type="dxa"/>
          <w:tblInd w:w="91" w:type="dxa"/>
          <w:tblCellMar>
            <w:top w:w="0" w:type="dxa"/>
            <w:left w:w="108" w:type="dxa"/>
            <w:bottom w:w="0" w:type="dxa"/>
            <w:right w:w="108" w:type="dxa"/>
          </w:tblCellMar>
        </w:tblPrEx>
        <w:trPr>
          <w:trHeight w:val="308"/>
        </w:trPr>
        <w:tc>
          <w:tcPr>
            <w:tcW w:w="4125"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     入</w:t>
            </w:r>
          </w:p>
        </w:tc>
        <w:tc>
          <w:tcPr>
            <w:tcW w:w="5072" w:type="dxa"/>
            <w:gridSpan w:val="6"/>
            <w:tcBorders>
              <w:top w:val="single" w:sz="4" w:space="0" w:color="000000"/>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     出</w:t>
            </w:r>
          </w:p>
        </w:tc>
      </w:tr>
      <w:tr>
        <w:tblPrEx>
          <w:tblW w:w="9197" w:type="dxa"/>
          <w:tblInd w:w="91" w:type="dxa"/>
          <w:tblCellMar>
            <w:top w:w="0" w:type="dxa"/>
            <w:left w:w="108" w:type="dxa"/>
            <w:bottom w:w="0" w:type="dxa"/>
            <w:right w:w="108" w:type="dxa"/>
          </w:tblCellMar>
        </w:tblPrEx>
        <w:trPr>
          <w:trHeight w:val="312"/>
        </w:trPr>
        <w:tc>
          <w:tcPr>
            <w:tcW w:w="2377" w:type="dxa"/>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475"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273" w:type="dxa"/>
            <w:gridSpan w:val="2"/>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1704"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626"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075" w:type="dxa"/>
            <w:vMerge w:val="restart"/>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130" w:type="dxa"/>
            <w:gridSpan w:val="2"/>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一般公共预算财政拨款</w:t>
            </w:r>
          </w:p>
        </w:tc>
        <w:tc>
          <w:tcPr>
            <w:tcW w:w="537"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政府性基金预算财政拨款</w:t>
            </w:r>
          </w:p>
        </w:tc>
      </w:tr>
      <w:tr>
        <w:tblPrEx>
          <w:tblW w:w="9197" w:type="dxa"/>
          <w:tblInd w:w="91" w:type="dxa"/>
          <w:tblCellMar>
            <w:top w:w="0" w:type="dxa"/>
            <w:left w:w="108" w:type="dxa"/>
            <w:bottom w:w="0" w:type="dxa"/>
            <w:right w:w="108" w:type="dxa"/>
          </w:tblCellMar>
        </w:tblPrEx>
        <w:trPr>
          <w:trHeight w:val="615"/>
        </w:trPr>
        <w:tc>
          <w:tcPr>
            <w:tcW w:w="2377" w:type="dxa"/>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475"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273" w:type="dxa"/>
            <w:gridSpan w:val="2"/>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70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26"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075"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130" w:type="dxa"/>
            <w:gridSpan w:val="2"/>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537"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p>
        </w:tc>
        <w:tc>
          <w:tcPr>
            <w:tcW w:w="1273" w:type="dxa"/>
            <w:gridSpan w:val="2"/>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p>
        </w:tc>
        <w:tc>
          <w:tcPr>
            <w:tcW w:w="10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130" w:type="dxa"/>
            <w:gridSpan w:val="2"/>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537"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573.36</w:t>
            </w: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506.56</w:t>
            </w: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506.56</w:t>
            </w: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十四、资源勘探信息等支出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二十一、灾害防治及应急管理支出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二十二、其他支出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二十四、债务付息支出</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573.36</w:t>
            </w: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574.77</w:t>
            </w: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574.77</w:t>
            </w: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年初财政拨款结转和结余</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w:t>
            </w: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年末财政拨款结转和结余</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w:t>
            </w: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57</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77"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47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127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574.77</w:t>
            </w:r>
          </w:p>
        </w:tc>
        <w:tc>
          <w:tcPr>
            <w:tcW w:w="1704"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62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58</w:t>
            </w:r>
          </w:p>
        </w:tc>
        <w:tc>
          <w:tcPr>
            <w:tcW w:w="107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574.77</w:t>
            </w:r>
          </w:p>
        </w:tc>
        <w:tc>
          <w:tcPr>
            <w:tcW w:w="1130"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574.77</w:t>
            </w:r>
          </w:p>
        </w:tc>
        <w:tc>
          <w:tcPr>
            <w:tcW w:w="5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9197" w:type="dxa"/>
            <w:gridSpan w:val="10"/>
            <w:tcBorders>
              <w:top w:val="nil"/>
              <w:left w:val="nil"/>
              <w:bottom w:val="nil"/>
              <w:right w:val="nil"/>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注：本表反映部门本年度一般公共预算财政拨款和政府性基金预算财政拨款的总收支和年末结转结余情况。</w:t>
            </w:r>
          </w:p>
        </w:tc>
      </w:tr>
    </w:tbl>
    <w:p/>
    <w:tbl>
      <w:tblPr>
        <w:tblStyle w:val="TableNormal"/>
        <w:tblW w:w="6232" w:type="dxa"/>
        <w:tblInd w:w="91" w:type="dxa"/>
        <w:tblCellMar>
          <w:top w:w="0" w:type="dxa"/>
          <w:left w:w="108" w:type="dxa"/>
          <w:bottom w:w="0" w:type="dxa"/>
          <w:right w:w="108" w:type="dxa"/>
        </w:tblCellMar>
      </w:tblPr>
      <w:tblGrid>
        <w:gridCol w:w="354"/>
        <w:gridCol w:w="325"/>
        <w:gridCol w:w="307"/>
        <w:gridCol w:w="3774"/>
        <w:gridCol w:w="882"/>
        <w:gridCol w:w="882"/>
        <w:gridCol w:w="436"/>
      </w:tblGrid>
      <w:tr>
        <w:tblPrEx>
          <w:tblW w:w="6232" w:type="dxa"/>
          <w:tblInd w:w="91" w:type="dxa"/>
          <w:tblCellMar>
            <w:top w:w="0" w:type="dxa"/>
            <w:left w:w="108" w:type="dxa"/>
            <w:bottom w:w="0" w:type="dxa"/>
            <w:right w:w="108" w:type="dxa"/>
          </w:tblCellMar>
        </w:tblPrEx>
        <w:trPr>
          <w:trHeight w:val="390"/>
        </w:trPr>
        <w:tc>
          <w:tcPr>
            <w:tcW w:w="6232" w:type="dxa"/>
            <w:gridSpan w:val="7"/>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一般公共预算财政拨款支出决算表</w:t>
            </w:r>
          </w:p>
        </w:tc>
      </w:tr>
      <w:tr>
        <w:tblPrEx>
          <w:tblW w:w="6232" w:type="dxa"/>
          <w:tblInd w:w="91" w:type="dxa"/>
          <w:tblCellMar>
            <w:top w:w="0" w:type="dxa"/>
            <w:left w:w="108" w:type="dxa"/>
            <w:bottom w:w="0" w:type="dxa"/>
            <w:right w:w="108" w:type="dxa"/>
          </w:tblCellMar>
        </w:tblPrEx>
        <w:trPr>
          <w:trHeight w:val="255"/>
        </w:trPr>
        <w:tc>
          <w:tcPr>
            <w:tcW w:w="28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65"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5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774"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654"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公开05表</w:t>
            </w:r>
          </w:p>
        </w:tc>
      </w:tr>
      <w:tr>
        <w:tblPrEx>
          <w:tblW w:w="6232" w:type="dxa"/>
          <w:tblInd w:w="91" w:type="dxa"/>
          <w:tblCellMar>
            <w:top w:w="0" w:type="dxa"/>
            <w:left w:w="108" w:type="dxa"/>
            <w:bottom w:w="0" w:type="dxa"/>
            <w:right w:w="108" w:type="dxa"/>
          </w:tblCellMar>
        </w:tblPrEx>
        <w:trPr>
          <w:trHeight w:val="255"/>
        </w:trPr>
        <w:tc>
          <w:tcPr>
            <w:tcW w:w="4578" w:type="dxa"/>
            <w:gridSpan w:val="4"/>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1654"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6232" w:type="dxa"/>
          <w:tblInd w:w="91" w:type="dxa"/>
          <w:tblCellMar>
            <w:top w:w="0" w:type="dxa"/>
            <w:left w:w="108" w:type="dxa"/>
            <w:bottom w:w="0" w:type="dxa"/>
            <w:right w:w="108" w:type="dxa"/>
          </w:tblCellMar>
        </w:tblPrEx>
        <w:trPr>
          <w:trHeight w:val="308"/>
        </w:trPr>
        <w:tc>
          <w:tcPr>
            <w:tcW w:w="4578"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654" w:type="dxa"/>
            <w:gridSpan w:val="3"/>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r>
      <w:tr>
        <w:tblPrEx>
          <w:tblW w:w="6232" w:type="dxa"/>
          <w:tblInd w:w="91" w:type="dxa"/>
          <w:tblCellMar>
            <w:top w:w="0" w:type="dxa"/>
            <w:left w:w="108" w:type="dxa"/>
            <w:bottom w:w="0" w:type="dxa"/>
            <w:right w:w="108" w:type="dxa"/>
          </w:tblCellMar>
        </w:tblPrEx>
        <w:trPr>
          <w:trHeight w:val="312"/>
        </w:trPr>
        <w:tc>
          <w:tcPr>
            <w:tcW w:w="804"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3774" w:type="dxa"/>
            <w:vMerge w:val="restart"/>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700"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700"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254"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r>
      <w:tr>
        <w:tblPrEx>
          <w:tblW w:w="6232" w:type="dxa"/>
          <w:tblInd w:w="91" w:type="dxa"/>
          <w:tblCellMar>
            <w:top w:w="0" w:type="dxa"/>
            <w:left w:w="108" w:type="dxa"/>
            <w:bottom w:w="0" w:type="dxa"/>
            <w:right w:w="108" w:type="dxa"/>
          </w:tblCellMar>
        </w:tblPrEx>
        <w:trPr>
          <w:trHeight w:val="312"/>
        </w:trPr>
        <w:tc>
          <w:tcPr>
            <w:tcW w:w="804"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77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5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12"/>
        </w:trPr>
        <w:tc>
          <w:tcPr>
            <w:tcW w:w="804"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377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0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5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4578"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700"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700"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254"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r>
      <w:tr>
        <w:tblPrEx>
          <w:tblW w:w="6232" w:type="dxa"/>
          <w:tblInd w:w="91" w:type="dxa"/>
          <w:tblCellMar>
            <w:top w:w="0" w:type="dxa"/>
            <w:left w:w="108" w:type="dxa"/>
            <w:bottom w:w="0" w:type="dxa"/>
            <w:right w:w="108" w:type="dxa"/>
          </w:tblCellMar>
        </w:tblPrEx>
        <w:trPr>
          <w:trHeight w:val="308"/>
        </w:trPr>
        <w:tc>
          <w:tcPr>
            <w:tcW w:w="4578"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574.77</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574.77</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公共安全支出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506.56</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506.56</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公安</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2040201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505.15</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20499</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其他公共安全支出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2049901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其他公共安全支出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45.40</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行政事业单位离退休</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41.35</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41.35</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归口管理的行政单位离退休</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18.39</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18.39</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2080802</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伤残抚恤</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4.05</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行政单位医疗</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7.87</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804"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3774"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70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25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232" w:type="dxa"/>
          <w:tblInd w:w="91" w:type="dxa"/>
          <w:tblCellMar>
            <w:top w:w="0" w:type="dxa"/>
            <w:left w:w="108" w:type="dxa"/>
            <w:bottom w:w="0" w:type="dxa"/>
            <w:right w:w="108" w:type="dxa"/>
          </w:tblCellMar>
        </w:tblPrEx>
        <w:trPr>
          <w:trHeight w:val="308"/>
        </w:trPr>
        <w:tc>
          <w:tcPr>
            <w:tcW w:w="6232" w:type="dxa"/>
            <w:gridSpan w:val="7"/>
            <w:tcBorders>
              <w:top w:val="nil"/>
              <w:left w:val="nil"/>
              <w:bottom w:val="nil"/>
              <w:right w:val="nil"/>
            </w:tcBorders>
            <w:shd w:val="clear" w:color="auto" w:fill="auto"/>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注：本表反映部门本年度一般公共预算财政拨款支出情况。</w:t>
            </w:r>
          </w:p>
        </w:tc>
      </w:tr>
    </w:tbl>
    <w:p/>
    <w:p/>
    <w:tbl>
      <w:tblPr>
        <w:tblStyle w:val="TableNormal"/>
        <w:tblW w:w="9197" w:type="dxa"/>
        <w:tblInd w:w="91" w:type="dxa"/>
        <w:tblCellMar>
          <w:top w:w="0" w:type="dxa"/>
          <w:left w:w="108" w:type="dxa"/>
          <w:bottom w:w="0" w:type="dxa"/>
          <w:right w:w="108" w:type="dxa"/>
        </w:tblCellMar>
      </w:tblPr>
      <w:tblGrid>
        <w:gridCol w:w="722"/>
        <w:gridCol w:w="1595"/>
        <w:gridCol w:w="824"/>
        <w:gridCol w:w="723"/>
        <w:gridCol w:w="1091"/>
        <w:gridCol w:w="824"/>
        <w:gridCol w:w="723"/>
        <w:gridCol w:w="1796"/>
        <w:gridCol w:w="899"/>
      </w:tblGrid>
      <w:tr>
        <w:tblPrEx>
          <w:tblW w:w="9197" w:type="dxa"/>
          <w:tblInd w:w="91" w:type="dxa"/>
          <w:tblCellMar>
            <w:top w:w="0" w:type="dxa"/>
            <w:left w:w="108" w:type="dxa"/>
            <w:bottom w:w="0" w:type="dxa"/>
            <w:right w:w="108" w:type="dxa"/>
          </w:tblCellMar>
        </w:tblPrEx>
        <w:trPr>
          <w:trHeight w:val="390"/>
        </w:trPr>
        <w:tc>
          <w:tcPr>
            <w:tcW w:w="9197" w:type="dxa"/>
            <w:gridSpan w:val="9"/>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一般公共预算财政拨款基本支出决算表</w:t>
            </w:r>
          </w:p>
        </w:tc>
      </w:tr>
      <w:tr>
        <w:tblPrEx>
          <w:tblW w:w="9197" w:type="dxa"/>
          <w:tblInd w:w="91" w:type="dxa"/>
          <w:tblCellMar>
            <w:top w:w="0" w:type="dxa"/>
            <w:left w:w="108" w:type="dxa"/>
            <w:bottom w:w="0" w:type="dxa"/>
            <w:right w:w="108" w:type="dxa"/>
          </w:tblCellMar>
        </w:tblPrEx>
        <w:trPr>
          <w:trHeight w:val="255"/>
        </w:trPr>
        <w:tc>
          <w:tcPr>
            <w:tcW w:w="65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713"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738"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5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904" w:type="dxa"/>
            <w:gridSpan w:val="2"/>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5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889" w:type="dxa"/>
            <w:gridSpan w:val="2"/>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公开06表</w:t>
            </w:r>
          </w:p>
        </w:tc>
      </w:tr>
      <w:tr>
        <w:tblPrEx>
          <w:tblW w:w="9197" w:type="dxa"/>
          <w:tblInd w:w="91" w:type="dxa"/>
          <w:tblCellMar>
            <w:top w:w="0" w:type="dxa"/>
            <w:left w:w="108" w:type="dxa"/>
            <w:bottom w:w="0" w:type="dxa"/>
            <w:right w:w="108" w:type="dxa"/>
          </w:tblCellMar>
        </w:tblPrEx>
        <w:trPr>
          <w:trHeight w:val="255"/>
        </w:trPr>
        <w:tc>
          <w:tcPr>
            <w:tcW w:w="5657" w:type="dxa"/>
            <w:gridSpan w:val="6"/>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65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889" w:type="dxa"/>
            <w:gridSpan w:val="2"/>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金额单位：万元</w:t>
            </w:r>
          </w:p>
        </w:tc>
      </w:tr>
      <w:tr>
        <w:tblPrEx>
          <w:tblW w:w="9197" w:type="dxa"/>
          <w:tblInd w:w="91" w:type="dxa"/>
          <w:tblCellMar>
            <w:top w:w="0" w:type="dxa"/>
            <w:left w:w="108" w:type="dxa"/>
            <w:bottom w:w="0" w:type="dxa"/>
            <w:right w:w="108" w:type="dxa"/>
          </w:tblCellMar>
        </w:tblPrEx>
        <w:trPr>
          <w:trHeight w:val="308"/>
        </w:trPr>
        <w:tc>
          <w:tcPr>
            <w:tcW w:w="3102"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w:t>
            </w:r>
          </w:p>
        </w:tc>
        <w:tc>
          <w:tcPr>
            <w:tcW w:w="6095" w:type="dxa"/>
            <w:gridSpan w:val="6"/>
            <w:tcBorders>
              <w:top w:val="single" w:sz="4" w:space="0" w:color="000000"/>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w:t>
            </w:r>
          </w:p>
        </w:tc>
      </w:tr>
      <w:tr>
        <w:tblPrEx>
          <w:tblW w:w="9197" w:type="dxa"/>
          <w:tblInd w:w="91" w:type="dxa"/>
          <w:tblCellMar>
            <w:top w:w="0" w:type="dxa"/>
            <w:left w:w="108" w:type="dxa"/>
            <w:bottom w:w="0" w:type="dxa"/>
            <w:right w:w="108" w:type="dxa"/>
          </w:tblCellMar>
        </w:tblPrEx>
        <w:trPr>
          <w:trHeight w:val="312"/>
        </w:trPr>
        <w:tc>
          <w:tcPr>
            <w:tcW w:w="651" w:type="dxa"/>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1713"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738"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651"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1166"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738"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651"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1931"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958"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tblPrEx>
          <w:tblW w:w="9197" w:type="dxa"/>
          <w:tblInd w:w="91" w:type="dxa"/>
          <w:tblCellMar>
            <w:top w:w="0" w:type="dxa"/>
            <w:left w:w="108" w:type="dxa"/>
            <w:bottom w:w="0" w:type="dxa"/>
            <w:right w:w="108" w:type="dxa"/>
          </w:tblCellMar>
        </w:tblPrEx>
        <w:trPr>
          <w:trHeight w:val="312"/>
        </w:trPr>
        <w:tc>
          <w:tcPr>
            <w:tcW w:w="651" w:type="dxa"/>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713"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3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51"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166"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3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51"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1931"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95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工资福利支出</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234.58</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商品和服务支出</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173.34</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债务利息及费用支出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30101</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基本工资</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56.27</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30201</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办公费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75.82</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30701</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国内债务付息</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30102</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津贴补贴</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78.52</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30202</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印刷费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30702</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国外债务付息</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30103</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奖金</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13.18</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30203</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咨询费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资本性支出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30106</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伙食补助费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30204</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手续费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0.09</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31001</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房屋建筑物购建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30107</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绩效工资</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1.74</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30205</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水费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31002</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办公设备购置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30108</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22.96</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30206</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电费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31003</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专用设备购置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30109</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职业年金缴费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30207</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邮电费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7.86</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31005</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基础设施建设</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30110</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职工基本医疗保险缴费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6.58</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30208</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取暖费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4.50</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31006</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大型修缮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30111</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公务员医疗补助缴费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30209</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物业管理费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31007</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信息网络及软件购置更新</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30112</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其他社会保障缴费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1.55</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30211</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差旅费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12.06</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31008</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物资储备</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30113</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14.94</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30212</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因公出国（境）费用</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31009</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土地补偿</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30114</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医疗费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30213</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维修（护）费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31010</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安置补助</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30199</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其他工资福利支出</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38.84</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30214</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租赁费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34.76</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31011</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地上附着物和青苗补偿</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对个人和家庭的补助</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166.85</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30215</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会议费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31012</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拆迁补偿</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30301</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离休费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10.03</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30216</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培训费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31013</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公务用车购置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30302</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退休费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公务接待费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0.24</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31019</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其他交通工具购置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30303</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退职（役）费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30218</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专用材料费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31021</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文物和陈列品购置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30304</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抚恤金</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30224</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被装购置费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31022</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无形资产购置</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30305</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生活补助</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11.89</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30225</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专用燃料费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31099</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其他资本性支出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30306</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救济费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144.93</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30226</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劳务费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0.18</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其他支出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30307</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医疗费补助</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30227</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委托业务费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39906</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赠与</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30308</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助学金</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30228</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工会经费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1.51</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39907</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国家赔偿费用支出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30309</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奖励金</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30229</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福利费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0.95</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39908</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对民间非营利组织和群众性自治组织补贴</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30310</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个人农业生产补贴</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30231</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公务用车运行维护费</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4.22</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39999</w:t>
            </w: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其他支出</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30399</w:t>
            </w: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其他对个人和家庭的补助</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30239</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其他交通费用</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0.66</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30240</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税金及附加费用</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651" w:type="dxa"/>
            <w:tcBorders>
              <w:top w:val="nil"/>
              <w:left w:val="single" w:sz="4" w:space="0" w:color="000000"/>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1713"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30299</w:t>
            </w:r>
          </w:p>
        </w:tc>
        <w:tc>
          <w:tcPr>
            <w:tcW w:w="1166"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其他商品和服务支出</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27.10</w:t>
            </w:r>
          </w:p>
        </w:tc>
        <w:tc>
          <w:tcPr>
            <w:tcW w:w="65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1931" w:type="dxa"/>
            <w:tcBorders>
              <w:top w:val="nil"/>
              <w:left w:val="nil"/>
              <w:bottom w:val="single" w:sz="4" w:space="0" w:color="000000"/>
              <w:right w:val="single" w:sz="4" w:space="0" w:color="000000"/>
            </w:tcBorders>
            <w:shd w:val="clear" w:color="FFFFFF" w:fill="C0C0C0"/>
            <w:noWrap/>
            <w:vAlign w:val="center"/>
          </w:tcPr>
          <w:p>
            <w:pPr>
              <w:widowControl/>
              <w:jc w:val="left"/>
              <w:rPr>
                <w:rFonts w:ascii="宋体" w:eastAsia="宋体" w:hAnsi="宋体" w:cs="Arial"/>
                <w:color w:val="000000"/>
                <w:kern w:val="0"/>
                <w:sz w:val="22"/>
              </w:rPr>
            </w:pP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9197" w:type="dxa"/>
          <w:tblInd w:w="91" w:type="dxa"/>
          <w:tblCellMar>
            <w:top w:w="0" w:type="dxa"/>
            <w:left w:w="108" w:type="dxa"/>
            <w:bottom w:w="0" w:type="dxa"/>
            <w:right w:w="108" w:type="dxa"/>
          </w:tblCellMar>
        </w:tblPrEx>
        <w:trPr>
          <w:trHeight w:val="308"/>
        </w:trPr>
        <w:tc>
          <w:tcPr>
            <w:tcW w:w="2364" w:type="dxa"/>
            <w:gridSpan w:val="2"/>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人员经费合计</w:t>
            </w:r>
          </w:p>
        </w:tc>
        <w:tc>
          <w:tcPr>
            <w:tcW w:w="73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401.43</w:t>
            </w:r>
          </w:p>
        </w:tc>
        <w:tc>
          <w:tcPr>
            <w:tcW w:w="5137" w:type="dxa"/>
            <w:gridSpan w:val="5"/>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公用经费合计</w:t>
            </w:r>
          </w:p>
        </w:tc>
        <w:tc>
          <w:tcPr>
            <w:tcW w:w="9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173.34</w:t>
            </w:r>
          </w:p>
        </w:tc>
      </w:tr>
      <w:tr>
        <w:tblPrEx>
          <w:tblW w:w="9197" w:type="dxa"/>
          <w:tblInd w:w="91" w:type="dxa"/>
          <w:tblCellMar>
            <w:top w:w="0" w:type="dxa"/>
            <w:left w:w="108" w:type="dxa"/>
            <w:bottom w:w="0" w:type="dxa"/>
            <w:right w:w="108" w:type="dxa"/>
          </w:tblCellMar>
        </w:tblPrEx>
        <w:trPr>
          <w:trHeight w:val="308"/>
        </w:trPr>
        <w:tc>
          <w:tcPr>
            <w:tcW w:w="9197" w:type="dxa"/>
            <w:gridSpan w:val="9"/>
            <w:tcBorders>
              <w:top w:val="nil"/>
              <w:left w:val="nil"/>
              <w:bottom w:val="nil"/>
              <w:right w:val="nil"/>
            </w:tcBorders>
            <w:shd w:val="clear" w:color="auto" w:fill="auto"/>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注：本表反映部门本年度一般公共预算财政拨款基本支出明细情况。</w:t>
            </w:r>
          </w:p>
        </w:tc>
      </w:tr>
    </w:tbl>
    <w:p/>
    <w:p/>
    <w:tbl>
      <w:tblPr>
        <w:tblStyle w:val="TableNormal"/>
        <w:tblW w:w="6214" w:type="dxa"/>
        <w:tblInd w:w="91" w:type="dxa"/>
        <w:tblCellMar>
          <w:top w:w="0" w:type="dxa"/>
          <w:left w:w="108" w:type="dxa"/>
          <w:bottom w:w="0" w:type="dxa"/>
          <w:right w:w="108" w:type="dxa"/>
        </w:tblCellMar>
      </w:tblPr>
      <w:tblGrid>
        <w:gridCol w:w="656"/>
        <w:gridCol w:w="876"/>
        <w:gridCol w:w="656"/>
        <w:gridCol w:w="436"/>
        <w:gridCol w:w="656"/>
        <w:gridCol w:w="656"/>
        <w:gridCol w:w="656"/>
        <w:gridCol w:w="876"/>
        <w:gridCol w:w="656"/>
        <w:gridCol w:w="436"/>
        <w:gridCol w:w="656"/>
        <w:gridCol w:w="656"/>
      </w:tblGrid>
      <w:tr>
        <w:tblPrEx>
          <w:tblW w:w="6214" w:type="dxa"/>
          <w:tblInd w:w="91" w:type="dxa"/>
          <w:tblCellMar>
            <w:top w:w="0" w:type="dxa"/>
            <w:left w:w="108" w:type="dxa"/>
            <w:bottom w:w="0" w:type="dxa"/>
            <w:right w:w="108" w:type="dxa"/>
          </w:tblCellMar>
        </w:tblPrEx>
        <w:trPr>
          <w:trHeight w:val="405"/>
        </w:trPr>
        <w:tc>
          <w:tcPr>
            <w:tcW w:w="6214" w:type="dxa"/>
            <w:gridSpan w:val="12"/>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2"/>
                <w:szCs w:val="32"/>
              </w:rPr>
            </w:pPr>
            <w:r>
              <w:rPr>
                <w:rFonts w:ascii="宋体" w:eastAsia="宋体" w:hAnsi="宋体" w:cs="Arial" w:hint="eastAsia"/>
                <w:color w:val="000000"/>
                <w:kern w:val="0"/>
                <w:sz w:val="32"/>
                <w:szCs w:val="32"/>
              </w:rPr>
              <w:t>一般公共预算财政拨款“三公”经费支出决算表</w:t>
            </w:r>
          </w:p>
        </w:tc>
      </w:tr>
      <w:tr>
        <w:tblPrEx>
          <w:tblW w:w="6214" w:type="dxa"/>
          <w:tblInd w:w="91" w:type="dxa"/>
          <w:tblCellMar>
            <w:top w:w="0" w:type="dxa"/>
            <w:left w:w="108" w:type="dxa"/>
            <w:bottom w:w="0" w:type="dxa"/>
            <w:right w:w="108" w:type="dxa"/>
          </w:tblCellMar>
        </w:tblPrEx>
        <w:trPr>
          <w:trHeight w:val="255"/>
        </w:trPr>
        <w:tc>
          <w:tcPr>
            <w:tcW w:w="51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94"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51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32"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020" w:type="dxa"/>
            <w:gridSpan w:val="2"/>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51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94"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51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434"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公开07表</w:t>
            </w:r>
          </w:p>
        </w:tc>
      </w:tr>
      <w:tr>
        <w:tblPrEx>
          <w:tblW w:w="6214" w:type="dxa"/>
          <w:tblInd w:w="91" w:type="dxa"/>
          <w:tblCellMar>
            <w:top w:w="0" w:type="dxa"/>
            <w:left w:w="108" w:type="dxa"/>
            <w:bottom w:w="0" w:type="dxa"/>
            <w:right w:w="108" w:type="dxa"/>
          </w:tblCellMar>
        </w:tblPrEx>
        <w:trPr>
          <w:trHeight w:val="255"/>
        </w:trPr>
        <w:tc>
          <w:tcPr>
            <w:tcW w:w="3066" w:type="dxa"/>
            <w:gridSpan w:val="6"/>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51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694"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510"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434"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6214" w:type="dxa"/>
          <w:tblInd w:w="91" w:type="dxa"/>
          <w:tblCellMar>
            <w:top w:w="0" w:type="dxa"/>
            <w:left w:w="108" w:type="dxa"/>
            <w:bottom w:w="0" w:type="dxa"/>
            <w:right w:w="108" w:type="dxa"/>
          </w:tblCellMar>
        </w:tblPrEx>
        <w:trPr>
          <w:trHeight w:val="308"/>
        </w:trPr>
        <w:tc>
          <w:tcPr>
            <w:tcW w:w="3066"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预算数</w:t>
            </w:r>
          </w:p>
        </w:tc>
        <w:tc>
          <w:tcPr>
            <w:tcW w:w="3148" w:type="dxa"/>
            <w:gridSpan w:val="6"/>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tblPrEx>
          <w:tblW w:w="6214" w:type="dxa"/>
          <w:tblInd w:w="91" w:type="dxa"/>
          <w:tblCellMar>
            <w:top w:w="0" w:type="dxa"/>
            <w:left w:w="108" w:type="dxa"/>
            <w:bottom w:w="0" w:type="dxa"/>
            <w:right w:w="108" w:type="dxa"/>
          </w:tblCellMar>
        </w:tblPrEx>
        <w:trPr>
          <w:trHeight w:val="308"/>
        </w:trPr>
        <w:tc>
          <w:tcPr>
            <w:tcW w:w="510" w:type="dxa"/>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694"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因公出国（境）费</w:t>
            </w:r>
          </w:p>
        </w:tc>
        <w:tc>
          <w:tcPr>
            <w:tcW w:w="1352" w:type="dxa"/>
            <w:gridSpan w:val="3"/>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公务用车购置及运行费</w:t>
            </w:r>
          </w:p>
        </w:tc>
        <w:tc>
          <w:tcPr>
            <w:tcW w:w="510"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公务接待费</w:t>
            </w:r>
          </w:p>
        </w:tc>
        <w:tc>
          <w:tcPr>
            <w:tcW w:w="510"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694"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因公出国（境）费</w:t>
            </w:r>
          </w:p>
        </w:tc>
        <w:tc>
          <w:tcPr>
            <w:tcW w:w="1434" w:type="dxa"/>
            <w:gridSpan w:val="3"/>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公务用车购置及运行费</w:t>
            </w:r>
          </w:p>
        </w:tc>
        <w:tc>
          <w:tcPr>
            <w:tcW w:w="510"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公务接待费</w:t>
            </w:r>
          </w:p>
        </w:tc>
      </w:tr>
      <w:tr>
        <w:tblPrEx>
          <w:tblW w:w="6214" w:type="dxa"/>
          <w:tblInd w:w="91" w:type="dxa"/>
          <w:tblCellMar>
            <w:top w:w="0" w:type="dxa"/>
            <w:left w:w="108" w:type="dxa"/>
            <w:bottom w:w="0" w:type="dxa"/>
            <w:right w:w="108" w:type="dxa"/>
          </w:tblCellMar>
        </w:tblPrEx>
        <w:trPr>
          <w:trHeight w:val="615"/>
        </w:trPr>
        <w:tc>
          <w:tcPr>
            <w:tcW w:w="510" w:type="dxa"/>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9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332"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公务用车购置费</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公务用车运行费</w:t>
            </w:r>
          </w:p>
        </w:tc>
        <w:tc>
          <w:tcPr>
            <w:tcW w:w="51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51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694"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414"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公务用车购置费</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公务用车运行费</w:t>
            </w:r>
          </w:p>
        </w:tc>
        <w:tc>
          <w:tcPr>
            <w:tcW w:w="510"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6214" w:type="dxa"/>
          <w:tblInd w:w="91" w:type="dxa"/>
          <w:tblCellMar>
            <w:top w:w="0" w:type="dxa"/>
            <w:left w:w="108" w:type="dxa"/>
            <w:bottom w:w="0" w:type="dxa"/>
            <w:right w:w="108" w:type="dxa"/>
          </w:tblCellMar>
        </w:tblPrEx>
        <w:trPr>
          <w:trHeight w:val="308"/>
        </w:trPr>
        <w:tc>
          <w:tcPr>
            <w:tcW w:w="510" w:type="dxa"/>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694"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332"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694"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414"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510" w:type="dxa"/>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r>
      <w:tr>
        <w:tblPrEx>
          <w:tblW w:w="6214" w:type="dxa"/>
          <w:tblInd w:w="91" w:type="dxa"/>
          <w:tblCellMar>
            <w:top w:w="0" w:type="dxa"/>
            <w:left w:w="108" w:type="dxa"/>
            <w:bottom w:w="0" w:type="dxa"/>
            <w:right w:w="108" w:type="dxa"/>
          </w:tblCellMar>
        </w:tblPrEx>
        <w:trPr>
          <w:trHeight w:val="308"/>
        </w:trPr>
        <w:tc>
          <w:tcPr>
            <w:tcW w:w="510" w:type="dxa"/>
            <w:tcBorders>
              <w:top w:val="nil"/>
              <w:left w:val="single" w:sz="4" w:space="0" w:color="000000"/>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5.74</w:t>
            </w:r>
          </w:p>
        </w:tc>
        <w:tc>
          <w:tcPr>
            <w:tcW w:w="69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4.30</w:t>
            </w:r>
          </w:p>
        </w:tc>
        <w:tc>
          <w:tcPr>
            <w:tcW w:w="332"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4.30</w:t>
            </w: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1.44</w:t>
            </w: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4.46</w:t>
            </w:r>
          </w:p>
        </w:tc>
        <w:tc>
          <w:tcPr>
            <w:tcW w:w="69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4.22</w:t>
            </w:r>
          </w:p>
        </w:tc>
        <w:tc>
          <w:tcPr>
            <w:tcW w:w="41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4.22</w:t>
            </w:r>
          </w:p>
        </w:tc>
        <w:tc>
          <w:tcPr>
            <w:tcW w:w="51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r>
              <w:rPr>
                <w:rFonts w:ascii="宋体" w:eastAsia="宋体" w:hAnsi="宋体" w:cs="Arial" w:hint="eastAsia"/>
                <w:color w:val="000000"/>
                <w:kern w:val="0"/>
                <w:sz w:val="22"/>
              </w:rPr>
              <w:t>0.24</w:t>
            </w:r>
          </w:p>
        </w:tc>
      </w:tr>
      <w:tr>
        <w:tblPrEx>
          <w:tblW w:w="6214" w:type="dxa"/>
          <w:tblInd w:w="91" w:type="dxa"/>
          <w:tblCellMar>
            <w:top w:w="0" w:type="dxa"/>
            <w:left w:w="108" w:type="dxa"/>
            <w:bottom w:w="0" w:type="dxa"/>
            <w:right w:w="108" w:type="dxa"/>
          </w:tblCellMar>
        </w:tblPrEx>
        <w:trPr>
          <w:trHeight w:val="615"/>
        </w:trPr>
        <w:tc>
          <w:tcPr>
            <w:tcW w:w="6214" w:type="dxa"/>
            <w:gridSpan w:val="12"/>
            <w:tcBorders>
              <w:top w:val="nil"/>
              <w:left w:val="nil"/>
              <w:bottom w:val="nil"/>
              <w:right w:val="nil"/>
            </w:tcBorders>
            <w:shd w:val="clear" w:color="auto" w:fill="auto"/>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
    <w:tbl>
      <w:tblPr>
        <w:tblStyle w:val="TableNormal"/>
        <w:tblW w:w="7502" w:type="dxa"/>
        <w:tblInd w:w="91" w:type="dxa"/>
        <w:tblCellMar>
          <w:top w:w="0" w:type="dxa"/>
          <w:left w:w="108" w:type="dxa"/>
          <w:bottom w:w="0" w:type="dxa"/>
          <w:right w:w="108" w:type="dxa"/>
        </w:tblCellMar>
      </w:tblPr>
      <w:tblGrid>
        <w:gridCol w:w="222"/>
        <w:gridCol w:w="222"/>
        <w:gridCol w:w="222"/>
        <w:gridCol w:w="2505"/>
        <w:gridCol w:w="778"/>
        <w:gridCol w:w="778"/>
        <w:gridCol w:w="778"/>
        <w:gridCol w:w="778"/>
        <w:gridCol w:w="778"/>
        <w:gridCol w:w="778"/>
      </w:tblGrid>
      <w:tr>
        <w:tblPrEx>
          <w:tblW w:w="7502" w:type="dxa"/>
          <w:tblInd w:w="91" w:type="dxa"/>
          <w:tblCellMar>
            <w:top w:w="0" w:type="dxa"/>
            <w:left w:w="108" w:type="dxa"/>
            <w:bottom w:w="0" w:type="dxa"/>
            <w:right w:w="108" w:type="dxa"/>
          </w:tblCellMar>
        </w:tblPrEx>
        <w:trPr>
          <w:trHeight w:val="390"/>
        </w:trPr>
        <w:tc>
          <w:tcPr>
            <w:tcW w:w="7502" w:type="dxa"/>
            <w:gridSpan w:val="10"/>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政府性基金预算财政拨款收入支出决算表</w:t>
            </w:r>
          </w:p>
        </w:tc>
      </w:tr>
      <w:tr>
        <w:tblPrEx>
          <w:tblW w:w="7502" w:type="dxa"/>
          <w:tblInd w:w="91" w:type="dxa"/>
          <w:tblCellMar>
            <w:top w:w="0" w:type="dxa"/>
            <w:left w:w="108" w:type="dxa"/>
            <w:bottom w:w="0" w:type="dxa"/>
            <w:right w:w="108" w:type="dxa"/>
          </w:tblCellMar>
        </w:tblPrEx>
        <w:trPr>
          <w:trHeight w:val="255"/>
        </w:trPr>
        <w:tc>
          <w:tcPr>
            <w:tcW w:w="111"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0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09"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505"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1556" w:type="dxa"/>
            <w:gridSpan w:val="2"/>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778"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334"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公开08表</w:t>
            </w:r>
          </w:p>
        </w:tc>
      </w:tr>
      <w:tr>
        <w:tblPrEx>
          <w:tblW w:w="7502" w:type="dxa"/>
          <w:tblInd w:w="91" w:type="dxa"/>
          <w:tblCellMar>
            <w:top w:w="0" w:type="dxa"/>
            <w:left w:w="108" w:type="dxa"/>
            <w:bottom w:w="0" w:type="dxa"/>
            <w:right w:w="108" w:type="dxa"/>
          </w:tblCellMar>
        </w:tblPrEx>
        <w:trPr>
          <w:trHeight w:val="255"/>
        </w:trPr>
        <w:tc>
          <w:tcPr>
            <w:tcW w:w="2834" w:type="dxa"/>
            <w:gridSpan w:val="4"/>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1556" w:type="dxa"/>
            <w:gridSpan w:val="2"/>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778"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334"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7502" w:type="dxa"/>
          <w:tblInd w:w="91" w:type="dxa"/>
          <w:tblCellMar>
            <w:top w:w="0" w:type="dxa"/>
            <w:left w:w="108" w:type="dxa"/>
            <w:bottom w:w="0" w:type="dxa"/>
            <w:right w:w="108" w:type="dxa"/>
          </w:tblCellMar>
        </w:tblPrEx>
        <w:trPr>
          <w:trHeight w:val="308"/>
        </w:trPr>
        <w:tc>
          <w:tcPr>
            <w:tcW w:w="2834"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778"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年初结转和结余</w:t>
            </w:r>
          </w:p>
        </w:tc>
        <w:tc>
          <w:tcPr>
            <w:tcW w:w="778"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本年收入</w:t>
            </w:r>
          </w:p>
        </w:tc>
        <w:tc>
          <w:tcPr>
            <w:tcW w:w="2334" w:type="dxa"/>
            <w:gridSpan w:val="3"/>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c>
          <w:tcPr>
            <w:tcW w:w="778" w:type="dxa"/>
            <w:vMerge w:val="restart"/>
            <w:tcBorders>
              <w:top w:val="single" w:sz="4" w:space="0" w:color="000000"/>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r>
      <w:tr>
        <w:tblPrEx>
          <w:tblW w:w="7502" w:type="dxa"/>
          <w:tblInd w:w="91" w:type="dxa"/>
          <w:tblCellMar>
            <w:top w:w="0" w:type="dxa"/>
            <w:left w:w="108" w:type="dxa"/>
            <w:bottom w:w="0" w:type="dxa"/>
            <w:right w:w="108" w:type="dxa"/>
          </w:tblCellMar>
        </w:tblPrEx>
        <w:trPr>
          <w:trHeight w:val="312"/>
        </w:trPr>
        <w:tc>
          <w:tcPr>
            <w:tcW w:w="329"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2505" w:type="dxa"/>
            <w:vMerge w:val="restart"/>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778"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778" w:type="dxa"/>
            <w:vMerge w:val="restart"/>
            <w:tcBorders>
              <w:top w:val="nil"/>
              <w:left w:val="nil"/>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12"/>
        </w:trPr>
        <w:tc>
          <w:tcPr>
            <w:tcW w:w="329"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505"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12"/>
        </w:trPr>
        <w:tc>
          <w:tcPr>
            <w:tcW w:w="329"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2505"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nil"/>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c>
          <w:tcPr>
            <w:tcW w:w="778" w:type="dxa"/>
            <w:vMerge/>
            <w:tcBorders>
              <w:top w:val="single" w:sz="4" w:space="0" w:color="000000"/>
              <w:left w:val="nil"/>
              <w:bottom w:val="single" w:sz="4" w:space="0" w:color="000000"/>
              <w:right w:val="single" w:sz="4" w:space="0" w:color="000000"/>
            </w:tcBorders>
            <w:vAlign w:val="center"/>
          </w:tcPr>
          <w:p>
            <w:pPr>
              <w:widowControl/>
              <w:jc w:val="lef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2834"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77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77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77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77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77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778"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r>
      <w:tr>
        <w:tblPrEx>
          <w:tblW w:w="7502" w:type="dxa"/>
          <w:tblInd w:w="91" w:type="dxa"/>
          <w:tblCellMar>
            <w:top w:w="0" w:type="dxa"/>
            <w:left w:w="108" w:type="dxa"/>
            <w:bottom w:w="0" w:type="dxa"/>
            <w:right w:w="108" w:type="dxa"/>
          </w:tblCellMar>
        </w:tblPrEx>
        <w:trPr>
          <w:trHeight w:val="308"/>
        </w:trPr>
        <w:tc>
          <w:tcPr>
            <w:tcW w:w="2834"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329"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05"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329"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05"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329"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05"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329"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05"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329"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05"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329"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05" w:type="dxa"/>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77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7502" w:type="dxa"/>
          <w:tblInd w:w="91" w:type="dxa"/>
          <w:tblCellMar>
            <w:top w:w="0" w:type="dxa"/>
            <w:left w:w="108" w:type="dxa"/>
            <w:bottom w:w="0" w:type="dxa"/>
            <w:right w:w="108" w:type="dxa"/>
          </w:tblCellMar>
        </w:tblPrEx>
        <w:trPr>
          <w:trHeight w:val="308"/>
        </w:trPr>
        <w:tc>
          <w:tcPr>
            <w:tcW w:w="7502" w:type="dxa"/>
            <w:gridSpan w:val="10"/>
            <w:tcBorders>
              <w:top w:val="nil"/>
              <w:left w:val="nil"/>
              <w:bottom w:val="nil"/>
              <w:right w:val="nil"/>
            </w:tcBorders>
            <w:shd w:val="clear" w:color="auto" w:fill="auto"/>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注：本表反映部门本年度政府性基金预算财政拨款收入、支出及结转和结余情况。本部门本年度无收支及结转结余情况，按要求以空表列示。</w:t>
            </w:r>
          </w:p>
        </w:tc>
      </w:tr>
    </w:tbl>
    <w:p/>
    <w:p/>
    <w:tbl>
      <w:tblPr>
        <w:tblStyle w:val="TableNormal"/>
        <w:tblW w:w="6725" w:type="dxa"/>
        <w:tblInd w:w="91" w:type="dxa"/>
        <w:tblCellMar>
          <w:top w:w="0" w:type="dxa"/>
          <w:left w:w="108" w:type="dxa"/>
          <w:bottom w:w="0" w:type="dxa"/>
          <w:right w:w="108" w:type="dxa"/>
        </w:tblCellMar>
      </w:tblPr>
      <w:tblGrid>
        <w:gridCol w:w="222"/>
        <w:gridCol w:w="222"/>
        <w:gridCol w:w="222"/>
        <w:gridCol w:w="2546"/>
        <w:gridCol w:w="801"/>
        <w:gridCol w:w="1545"/>
        <w:gridCol w:w="1545"/>
      </w:tblGrid>
      <w:tr>
        <w:tblPrEx>
          <w:tblW w:w="6725" w:type="dxa"/>
          <w:tblInd w:w="91" w:type="dxa"/>
          <w:tblCellMar>
            <w:top w:w="0" w:type="dxa"/>
            <w:left w:w="108" w:type="dxa"/>
            <w:bottom w:w="0" w:type="dxa"/>
            <w:right w:w="108" w:type="dxa"/>
          </w:tblCellMar>
        </w:tblPrEx>
        <w:trPr>
          <w:trHeight w:val="405"/>
        </w:trPr>
        <w:tc>
          <w:tcPr>
            <w:tcW w:w="6725" w:type="dxa"/>
            <w:gridSpan w:val="7"/>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32"/>
                <w:szCs w:val="32"/>
              </w:rPr>
            </w:pPr>
            <w:r>
              <w:rPr>
                <w:rFonts w:ascii="宋体" w:eastAsia="宋体" w:hAnsi="宋体" w:cs="Arial" w:hint="eastAsia"/>
                <w:color w:val="000000"/>
                <w:kern w:val="0"/>
                <w:sz w:val="32"/>
                <w:szCs w:val="32"/>
              </w:rPr>
              <w:t>国有资本经营预算财政拨款支出决算表</w:t>
            </w:r>
          </w:p>
        </w:tc>
      </w:tr>
      <w:tr>
        <w:tblPrEx>
          <w:tblW w:w="6725" w:type="dxa"/>
          <w:tblInd w:w="91" w:type="dxa"/>
          <w:tblCellMar>
            <w:top w:w="0" w:type="dxa"/>
            <w:left w:w="108" w:type="dxa"/>
            <w:bottom w:w="0" w:type="dxa"/>
            <w:right w:w="108" w:type="dxa"/>
          </w:tblCellMar>
        </w:tblPrEx>
        <w:trPr>
          <w:trHeight w:val="255"/>
        </w:trPr>
        <w:tc>
          <w:tcPr>
            <w:tcW w:w="96"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96"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96"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2546" w:type="dxa"/>
            <w:tcBorders>
              <w:top w:val="nil"/>
              <w:left w:val="nil"/>
              <w:bottom w:val="nil"/>
              <w:right w:val="nil"/>
            </w:tcBorders>
            <w:shd w:val="clear" w:color="auto" w:fill="auto"/>
            <w:noWrap/>
            <w:vAlign w:val="bottom"/>
          </w:tcPr>
          <w:p>
            <w:pPr>
              <w:widowControl/>
              <w:jc w:val="left"/>
              <w:rPr>
                <w:rFonts w:ascii="Arial" w:eastAsia="宋体" w:hAnsi="Arial" w:cs="Arial"/>
                <w:color w:val="000000"/>
                <w:kern w:val="0"/>
                <w:sz w:val="20"/>
                <w:szCs w:val="20"/>
              </w:rPr>
            </w:pPr>
          </w:p>
        </w:tc>
        <w:tc>
          <w:tcPr>
            <w:tcW w:w="3891"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公开09表</w:t>
            </w:r>
          </w:p>
        </w:tc>
      </w:tr>
      <w:tr>
        <w:tblPrEx>
          <w:tblW w:w="6725" w:type="dxa"/>
          <w:tblInd w:w="91" w:type="dxa"/>
          <w:tblCellMar>
            <w:top w:w="0" w:type="dxa"/>
            <w:left w:w="108" w:type="dxa"/>
            <w:bottom w:w="0" w:type="dxa"/>
            <w:right w:w="108" w:type="dxa"/>
          </w:tblCellMar>
        </w:tblPrEx>
        <w:trPr>
          <w:trHeight w:val="255"/>
        </w:trPr>
        <w:tc>
          <w:tcPr>
            <w:tcW w:w="2834" w:type="dxa"/>
            <w:gridSpan w:val="4"/>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部门：丰宁满族自治县委政法委</w:t>
            </w:r>
          </w:p>
        </w:tc>
        <w:tc>
          <w:tcPr>
            <w:tcW w:w="3891" w:type="dxa"/>
            <w:gridSpan w:val="3"/>
            <w:tcBorders>
              <w:top w:val="nil"/>
              <w:left w:val="nil"/>
              <w:bottom w:val="nil"/>
              <w:right w:val="nil"/>
            </w:tcBorders>
            <w:shd w:val="clear" w:color="auto" w:fill="auto"/>
            <w:noWrap/>
            <w:vAlign w:val="bottom"/>
          </w:tcPr>
          <w:p>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tblPrEx>
          <w:tblW w:w="6725" w:type="dxa"/>
          <w:tblInd w:w="91" w:type="dxa"/>
          <w:tblCellMar>
            <w:top w:w="0" w:type="dxa"/>
            <w:left w:w="108" w:type="dxa"/>
            <w:bottom w:w="0" w:type="dxa"/>
            <w:right w:w="108" w:type="dxa"/>
          </w:tblCellMar>
        </w:tblPrEx>
        <w:trPr>
          <w:trHeight w:val="308"/>
        </w:trPr>
        <w:tc>
          <w:tcPr>
            <w:tcW w:w="2834"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w:t>
            </w:r>
          </w:p>
        </w:tc>
        <w:tc>
          <w:tcPr>
            <w:tcW w:w="3891" w:type="dxa"/>
            <w:gridSpan w:val="3"/>
            <w:tcBorders>
              <w:top w:val="single" w:sz="4" w:space="0" w:color="000000"/>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r>
      <w:tr>
        <w:tblPrEx>
          <w:tblW w:w="6725" w:type="dxa"/>
          <w:tblInd w:w="91" w:type="dxa"/>
          <w:tblCellMar>
            <w:top w:w="0" w:type="dxa"/>
            <w:left w:w="108" w:type="dxa"/>
            <w:bottom w:w="0" w:type="dxa"/>
            <w:right w:w="108" w:type="dxa"/>
          </w:tblCellMar>
        </w:tblPrEx>
        <w:trPr>
          <w:trHeight w:val="615"/>
        </w:trPr>
        <w:tc>
          <w:tcPr>
            <w:tcW w:w="288" w:type="dxa"/>
            <w:gridSpan w:val="3"/>
            <w:tcBorders>
              <w:top w:val="nil"/>
              <w:left w:val="single" w:sz="4" w:space="0" w:color="000000"/>
              <w:bottom w:val="single" w:sz="4" w:space="0" w:color="000000"/>
              <w:right w:val="single" w:sz="4" w:space="0" w:color="000000"/>
            </w:tcBorders>
            <w:shd w:val="clear" w:color="FFFFFF" w:fill="C0C0C0"/>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2546"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801"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5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15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r>
      <w:tr>
        <w:tblPrEx>
          <w:tblW w:w="6725" w:type="dxa"/>
          <w:tblInd w:w="91" w:type="dxa"/>
          <w:tblCellMar>
            <w:top w:w="0" w:type="dxa"/>
            <w:left w:w="108" w:type="dxa"/>
            <w:bottom w:w="0" w:type="dxa"/>
            <w:right w:w="108" w:type="dxa"/>
          </w:tblCellMar>
        </w:tblPrEx>
        <w:trPr>
          <w:trHeight w:val="308"/>
        </w:trPr>
        <w:tc>
          <w:tcPr>
            <w:tcW w:w="2834"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801"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5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545" w:type="dxa"/>
            <w:tcBorders>
              <w:top w:val="nil"/>
              <w:left w:val="nil"/>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r>
      <w:tr>
        <w:tblPrEx>
          <w:tblW w:w="6725" w:type="dxa"/>
          <w:tblInd w:w="91" w:type="dxa"/>
          <w:tblCellMar>
            <w:top w:w="0" w:type="dxa"/>
            <w:left w:w="108" w:type="dxa"/>
            <w:bottom w:w="0" w:type="dxa"/>
            <w:right w:w="108" w:type="dxa"/>
          </w:tblCellMar>
        </w:tblPrEx>
        <w:trPr>
          <w:trHeight w:val="308"/>
        </w:trPr>
        <w:tc>
          <w:tcPr>
            <w:tcW w:w="2834" w:type="dxa"/>
            <w:gridSpan w:val="4"/>
            <w:tcBorders>
              <w:top w:val="nil"/>
              <w:left w:val="single" w:sz="4" w:space="0" w:color="000000"/>
              <w:bottom w:val="single" w:sz="4" w:space="0" w:color="000000"/>
              <w:right w:val="single" w:sz="4" w:space="0" w:color="000000"/>
            </w:tcBorders>
            <w:shd w:val="clear" w:color="FFFFFF" w:fill="C0C0C0"/>
            <w:noWrap/>
            <w:vAlign w:val="center"/>
          </w:tcPr>
          <w:p>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b/>
                <w:bCs/>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288"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46"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hAnsi="宋体" w:cs="Arial"/>
                <w:color w:val="000000"/>
                <w:kern w:val="0"/>
                <w:sz w:val="22"/>
              </w:rPr>
            </w:pP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288"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46"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hAnsi="宋体" w:cs="Arial"/>
                <w:color w:val="000000"/>
                <w:kern w:val="0"/>
                <w:sz w:val="22"/>
              </w:rPr>
            </w:pP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288"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46"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hAnsi="宋体" w:cs="Arial"/>
                <w:color w:val="000000"/>
                <w:kern w:val="0"/>
                <w:sz w:val="22"/>
              </w:rPr>
            </w:pP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288"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46"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hAnsi="宋体" w:cs="Arial"/>
                <w:color w:val="000000"/>
                <w:kern w:val="0"/>
                <w:sz w:val="22"/>
              </w:rPr>
            </w:pP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288"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46"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hAnsi="宋体" w:cs="Arial"/>
                <w:color w:val="000000"/>
                <w:kern w:val="0"/>
                <w:sz w:val="22"/>
              </w:rPr>
            </w:pP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288" w:type="dxa"/>
            <w:gridSpan w:val="3"/>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hAnsi="宋体" w:cs="Arial"/>
                <w:color w:val="000000"/>
                <w:kern w:val="0"/>
                <w:sz w:val="22"/>
              </w:rPr>
            </w:pPr>
          </w:p>
        </w:tc>
        <w:tc>
          <w:tcPr>
            <w:tcW w:w="2546"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hAnsi="宋体" w:cs="Arial"/>
                <w:color w:val="000000"/>
                <w:kern w:val="0"/>
                <w:sz w:val="22"/>
              </w:rPr>
            </w:pPr>
          </w:p>
        </w:tc>
        <w:tc>
          <w:tcPr>
            <w:tcW w:w="801"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c>
          <w:tcPr>
            <w:tcW w:w="1545"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hAnsi="宋体" w:cs="Arial"/>
                <w:color w:val="000000"/>
                <w:kern w:val="0"/>
                <w:sz w:val="22"/>
              </w:rPr>
            </w:pPr>
          </w:p>
        </w:tc>
      </w:tr>
      <w:tr>
        <w:tblPrEx>
          <w:tblW w:w="6725" w:type="dxa"/>
          <w:tblInd w:w="91" w:type="dxa"/>
          <w:tblCellMar>
            <w:top w:w="0" w:type="dxa"/>
            <w:left w:w="108" w:type="dxa"/>
            <w:bottom w:w="0" w:type="dxa"/>
            <w:right w:w="108" w:type="dxa"/>
          </w:tblCellMar>
        </w:tblPrEx>
        <w:trPr>
          <w:trHeight w:val="308"/>
        </w:trPr>
        <w:tc>
          <w:tcPr>
            <w:tcW w:w="6725" w:type="dxa"/>
            <w:gridSpan w:val="7"/>
            <w:tcBorders>
              <w:top w:val="nil"/>
              <w:left w:val="nil"/>
              <w:bottom w:val="nil"/>
              <w:right w:val="nil"/>
            </w:tcBorders>
            <w:shd w:val="clear" w:color="auto" w:fill="auto"/>
            <w:vAlign w:val="center"/>
          </w:tcPr>
          <w:p>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注：本表反映部门本年度国有资本经营预算财政拨款支出情况。本部门本年度无相关支出情况，按要求以空表列示。</w:t>
            </w:r>
          </w:p>
        </w:tc>
      </w:tr>
    </w:tbl>
    <w:p/>
    <w:p/>
    <w:p/>
    <w:p/>
    <w:p/>
    <w:p/>
    <w:p/>
    <w:p/>
    <w:p/>
    <w:p/>
    <w:p/>
    <w:p/>
    <w:p/>
    <w:p/>
    <w:p/>
    <w:p/>
    <w:p/>
    <w:p/>
    <w:p/>
    <w:p/>
    <w:p/>
    <w:p/>
    <w:p>
      <w:r>
        <mc:AlternateContent>
          <mc:Choice Requires="wps">
            <w:drawing>
              <wp:anchor distT="0" distB="0" distL="114300" distR="114300" simplePos="0" relativeHeight="251678720" behindDoc="0" locked="0" layoutInCell="1" allowOverlap="1">
                <wp:simplePos x="0" y="0"/>
                <wp:positionH relativeFrom="column">
                  <wp:posOffset>-1026160</wp:posOffset>
                </wp:positionH>
                <wp:positionV relativeFrom="paragraph">
                  <wp:posOffset>-1101090</wp:posOffset>
                </wp:positionV>
                <wp:extent cx="8087995" cy="11238865"/>
                <wp:effectExtent l="19050" t="19050" r="46355" b="57785"/>
                <wp:wrapNone/>
                <wp:docPr id="13" name="文本框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8087995" cy="11238865"/>
                        </a:xfrm>
                        <a:prstGeom prst="rect">
                          <a:avLst/>
                        </a:prstGeom>
                        <a:solidFill>
                          <a:srgbClr val="4F81BD"/>
                        </a:solidFill>
                        <a:ln w="38100">
                          <a:solidFill>
                            <a:srgbClr val="F2F2F2"/>
                          </a:solidFill>
                          <a:miter lim="0"/>
                          <a:headEnd/>
                          <a:tailEnd/>
                        </a:ln>
                        <a:effectLst>
                          <a:outerShdw blurRad="0" dist="28398" dir="3806096" sx="100000" sy="100000" kx="0" ky="0" algn="ctr" rotWithShape="0">
                            <a:srgbClr val="243F60">
                              <a:alpha val="50000"/>
                            </a:srgbClr>
                          </a:outerShdw>
                        </a:effectLst>
                      </wps:spPr>
                      <wps:txbx>
                        <w:txbxContent>
                          <w:p/>
                        </w:txbxContent>
                      </wps:txbx>
                      <wps:bodyPr upright="1"/>
                    </wps:wsp>
                  </a:graphicData>
                </a:graphic>
              </wp:anchor>
            </w:drawing>
          </mc:Choice>
          <mc:Fallback>
            <w:pict>
              <v:shape id="文本框 70" o:spid="_x0000_s1039" type="#_x0000_t202" style="width:636.85pt;height:884.95pt;margin-top:-86.7pt;margin-left:-80.8pt;mso-height-relative:page;mso-width-relative:page;position:absolute;z-index:251679744" coordsize="21600,21600" filled="t" fillcolor="#4f81bd" stroked="t" strokecolor="#f2f2f2">
                <v:stroke joinstyle="miter"/>
                <v:shadow on="t" color="#243f60" opacity="0.5" origin="0,0" offset="1pt,2pt" matrix="1,0,0,1"/>
                <o:lock v:ext="edit" aspectratio="f"/>
                <v:textbox>
                  <w:txbxContent>
                    <w:p/>
                  </w:txbxContent>
                </v:textbox>
              </v:shape>
            </w:pict>
          </mc:Fallback>
        </mc:AlternateContent>
      </w:r>
    </w:p>
    <w:p/>
    <w:p/>
    <w:p/>
    <w:sectPr>
      <w:pgSz w:w="11906" w:h="16838"/>
      <w:pgMar w:top="1701" w:right="1417" w:bottom="1281" w:left="1417" w:header="851" w:footer="992" w:gutter="0"/>
      <w:pgNumType w:fmt="numberInDash"/>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Yu Gothic UI Semibold">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思源黑体 HW Bold">
    <w:altName w:val="黑体"/>
    <w:panose1 w:val="00000000000000000000"/>
    <w:charset w:val="86"/>
    <w:family w:val="swiss"/>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方正书宋_GBK">
    <w:altName w:val="Times New Roman"/>
    <w:panose1 w:val="00000000000000000000"/>
    <w:charset w:val="00"/>
    <w:family w:val="auto"/>
    <w:pitch w:val="default"/>
    <w:sig w:usb0="00000000" w:usb1="00000000" w:usb2="00000000" w:usb3="00000000" w:csb0="0000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DB9A87"/>
    <w:multiLevelType w:val="singleLevel"/>
    <w:tmpl w:val="45DB9A87"/>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462D9"/>
    <w:rsid w:val="000611B6"/>
    <w:rsid w:val="0007063E"/>
    <w:rsid w:val="00073392"/>
    <w:rsid w:val="00073F4E"/>
    <w:rsid w:val="000776EF"/>
    <w:rsid w:val="00086C89"/>
    <w:rsid w:val="000A39FB"/>
    <w:rsid w:val="00117746"/>
    <w:rsid w:val="00125E00"/>
    <w:rsid w:val="00150A91"/>
    <w:rsid w:val="00163F95"/>
    <w:rsid w:val="00180A9A"/>
    <w:rsid w:val="001829C0"/>
    <w:rsid w:val="00184809"/>
    <w:rsid w:val="00192112"/>
    <w:rsid w:val="001B0127"/>
    <w:rsid w:val="001B670D"/>
    <w:rsid w:val="001C12D5"/>
    <w:rsid w:val="001C69F7"/>
    <w:rsid w:val="001F1AF7"/>
    <w:rsid w:val="00231940"/>
    <w:rsid w:val="002650EC"/>
    <w:rsid w:val="002A6C46"/>
    <w:rsid w:val="002C19B5"/>
    <w:rsid w:val="002C362D"/>
    <w:rsid w:val="00337899"/>
    <w:rsid w:val="003A4EE8"/>
    <w:rsid w:val="003C488B"/>
    <w:rsid w:val="003F2DCF"/>
    <w:rsid w:val="00442CC2"/>
    <w:rsid w:val="00446244"/>
    <w:rsid w:val="00473C20"/>
    <w:rsid w:val="004D61CB"/>
    <w:rsid w:val="005011D6"/>
    <w:rsid w:val="00503F2E"/>
    <w:rsid w:val="00542A9D"/>
    <w:rsid w:val="00552226"/>
    <w:rsid w:val="00566120"/>
    <w:rsid w:val="00582E6D"/>
    <w:rsid w:val="005954D5"/>
    <w:rsid w:val="005A53FA"/>
    <w:rsid w:val="005D1293"/>
    <w:rsid w:val="00607ABC"/>
    <w:rsid w:val="00644D5F"/>
    <w:rsid w:val="006727AD"/>
    <w:rsid w:val="00691425"/>
    <w:rsid w:val="006A516E"/>
    <w:rsid w:val="006B0830"/>
    <w:rsid w:val="006C06A6"/>
    <w:rsid w:val="00716E2B"/>
    <w:rsid w:val="00770F18"/>
    <w:rsid w:val="00773B74"/>
    <w:rsid w:val="0078290C"/>
    <w:rsid w:val="007C06CA"/>
    <w:rsid w:val="007D2463"/>
    <w:rsid w:val="008163FB"/>
    <w:rsid w:val="0082605B"/>
    <w:rsid w:val="00835DB0"/>
    <w:rsid w:val="00837401"/>
    <w:rsid w:val="00855C36"/>
    <w:rsid w:val="00857DBE"/>
    <w:rsid w:val="008701BC"/>
    <w:rsid w:val="00883D92"/>
    <w:rsid w:val="008850C3"/>
    <w:rsid w:val="008A5362"/>
    <w:rsid w:val="008F21F1"/>
    <w:rsid w:val="008F221B"/>
    <w:rsid w:val="008F5A2D"/>
    <w:rsid w:val="00921602"/>
    <w:rsid w:val="00934260"/>
    <w:rsid w:val="00957EA1"/>
    <w:rsid w:val="00966E5B"/>
    <w:rsid w:val="009B4EF0"/>
    <w:rsid w:val="009D271F"/>
    <w:rsid w:val="00A30AEF"/>
    <w:rsid w:val="00A430A2"/>
    <w:rsid w:val="00A929C2"/>
    <w:rsid w:val="00A9608B"/>
    <w:rsid w:val="00AC5509"/>
    <w:rsid w:val="00AD097F"/>
    <w:rsid w:val="00AE7AE1"/>
    <w:rsid w:val="00AF42A3"/>
    <w:rsid w:val="00B844F4"/>
    <w:rsid w:val="00BA06A1"/>
    <w:rsid w:val="00BA770A"/>
    <w:rsid w:val="00BA7D61"/>
    <w:rsid w:val="00C054DE"/>
    <w:rsid w:val="00C679A9"/>
    <w:rsid w:val="00C739B3"/>
    <w:rsid w:val="00C7541C"/>
    <w:rsid w:val="00CC0FAA"/>
    <w:rsid w:val="00CD0736"/>
    <w:rsid w:val="00D1570F"/>
    <w:rsid w:val="00D32830"/>
    <w:rsid w:val="00D76D60"/>
    <w:rsid w:val="00D91F59"/>
    <w:rsid w:val="00DB7153"/>
    <w:rsid w:val="00DB7F05"/>
    <w:rsid w:val="00E028C3"/>
    <w:rsid w:val="00E14F77"/>
    <w:rsid w:val="00E3076B"/>
    <w:rsid w:val="00E36978"/>
    <w:rsid w:val="00E82A1E"/>
    <w:rsid w:val="00EC06F4"/>
    <w:rsid w:val="00EE4E36"/>
    <w:rsid w:val="00EF2B63"/>
    <w:rsid w:val="00F00D6F"/>
    <w:rsid w:val="00F665F4"/>
    <w:rsid w:val="00FD225F"/>
    <w:rsid w:val="00FF7F86"/>
    <w:rsid w:val="176D27C1"/>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semiHidden="0" w:unhideWhenUsed="0"/>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cs="Times New Roman"/>
      <w:kern w:val="2"/>
      <w:sz w:val="21"/>
      <w:szCs w:val="22"/>
      <w:lang w:val="en-US" w:eastAsia="zh-CN" w:bidi="ar-SA"/>
    </w:rPr>
  </w:style>
  <w:style w:type="paragraph" w:styleId="Heading1">
    <w:name w:val="heading 1"/>
    <w:basedOn w:val="Normal"/>
    <w:next w:val="Normal"/>
    <w:link w:val="1Char"/>
    <w:uiPriority w:val="9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Char"/>
    <w:uiPriority w:val="99"/>
    <w:rPr>
      <w:rFonts w:ascii="仿宋_GB2312" w:eastAsia="仿宋_GB2312" w:hAnsi="仿宋_GB2312" w:cs="仿宋_GB2312"/>
      <w:sz w:val="32"/>
      <w:szCs w:val="32"/>
      <w:lang w:val="zh-CN"/>
    </w:rPr>
  </w:style>
  <w:style w:type="paragraph" w:styleId="Footer">
    <w:name w:val="footer"/>
    <w:basedOn w:val="Normal"/>
    <w:link w:val="Char0"/>
    <w:uiPriority w:val="99"/>
    <w:qFormat/>
    <w:pPr>
      <w:tabs>
        <w:tab w:val="center" w:pos="4153"/>
        <w:tab w:val="right" w:pos="8306"/>
      </w:tabs>
      <w:snapToGrid w:val="0"/>
      <w:jc w:val="left"/>
    </w:pPr>
    <w:rPr>
      <w:sz w:val="18"/>
      <w:szCs w:val="18"/>
    </w:rPr>
  </w:style>
  <w:style w:type="paragraph" w:styleId="Header">
    <w:name w:val="header"/>
    <w:basedOn w:val="Normal"/>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TableGrid">
    <w:name w:val="Table Grid"/>
    <w:basedOn w:val="TableNormal"/>
    <w:uiPriority w:val="99"/>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DefaultParagraphFont"/>
    <w:link w:val="Heading1"/>
    <w:uiPriority w:val="9"/>
    <w:rPr>
      <w:rFonts w:ascii="等线" w:eastAsia="等线" w:hAnsi="等线"/>
      <w:b/>
      <w:bCs/>
      <w:kern w:val="44"/>
      <w:sz w:val="44"/>
      <w:szCs w:val="44"/>
    </w:rPr>
  </w:style>
  <w:style w:type="character" w:customStyle="1" w:styleId="Char">
    <w:name w:val="正文文本 Char"/>
    <w:basedOn w:val="DefaultParagraphFont"/>
    <w:link w:val="BodyText"/>
    <w:uiPriority w:val="99"/>
    <w:semiHidden/>
    <w:qFormat/>
    <w:rPr>
      <w:rFonts w:ascii="等线" w:eastAsia="等线" w:hAnsi="等线"/>
    </w:rPr>
  </w:style>
  <w:style w:type="character" w:customStyle="1" w:styleId="Char0">
    <w:name w:val="页脚 Char"/>
    <w:basedOn w:val="DefaultParagraphFont"/>
    <w:link w:val="Footer"/>
    <w:uiPriority w:val="99"/>
    <w:locked/>
    <w:rPr>
      <w:rFonts w:cs="Times New Roman"/>
      <w:sz w:val="18"/>
      <w:szCs w:val="18"/>
    </w:rPr>
  </w:style>
  <w:style w:type="character" w:customStyle="1" w:styleId="Char1">
    <w:name w:val="页眉 Char"/>
    <w:basedOn w:val="DefaultParagraphFont"/>
    <w:link w:val="Header"/>
    <w:uiPriority w:val="99"/>
    <w:qFormat/>
    <w:locked/>
    <w:rPr>
      <w:rFonts w:ascii="等线" w:eastAsia="等线" w:hAnsi="等线" w:cs="Times New Roman"/>
      <w:sz w:val="18"/>
      <w:szCs w:val="18"/>
    </w:rPr>
  </w:style>
  <w:style w:type="paragraph" w:customStyle="1" w:styleId="1">
    <w:name w:val="列出段落1"/>
    <w:basedOn w:val="Normal"/>
    <w:uiPriority w:val="99"/>
    <w:pPr>
      <w:spacing w:before="2"/>
      <w:ind w:left="119" w:right="434" w:firstLine="643"/>
    </w:pPr>
    <w:rPr>
      <w:rFonts w:ascii="仿宋_GB2312" w:eastAsia="仿宋_GB2312" w:hAnsi="仿宋_GB2312" w:cs="仿宋_GB231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1.png"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header" Target="header4.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Administrator/Desktop/&#20915;&#31639;&#20844;&#24320;/2019&#24180;&#21464;&#21160;&#27169;&#26495;.XLS"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Administrator/Desktop/&#20915;&#31639;&#20844;&#24320;/2019&#24180;&#21464;&#21160;&#27169;&#26495;.XLS"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Administrator/Desktop/&#20915;&#31639;&#20844;&#24320;/2019&#24180;&#21464;&#21160;&#27169;&#26495;.XLS" TargetMode="Externa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Administrator/Desktop/&#20915;&#31639;&#20844;&#24320;/2019&#24180;&#21464;&#21160;&#27169;&#26495;.XLS" TargetMode="Externa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Administrator/Desktop/&#20915;&#31639;&#20844;&#24320;/2019&#24180;&#21464;&#21160;&#27169;&#26495;.XLS"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图一：收入构成情况</a:t>
            </a:r>
            <a:endParaRPr lang="zh-CN" altLang="en-US"/>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1"/>
            <c:showPercent val="1"/>
            <c:showBubbleSize val="1"/>
            <c:separator>
</c:separator>
            <c:showLeaderLines val="1"/>
            <c:extLst>
              <c:ext xmlns:c15="http://schemas.microsoft.com/office/drawing/2012/chart" uri="{CE6537A1-D6FC-4f65-9D91-7224C49458BB}">
                <c15:showLeaderLines val="1"/>
              </c:ext>
            </c:extLst>
          </c:dLbls>
          <c:cat>
            <c:strRef>
              <c:f>Sheet1!$B$4:$B$7</c:f>
              <c:strCache>
                <c:ptCount val="4"/>
                <c:pt idx="0">
                  <c:v>财政拨款收入</c:v>
                </c:pt>
                <c:pt idx="1">
                  <c:v>事业收入</c:v>
                </c:pt>
                <c:pt idx="2">
                  <c:v>经营收入</c:v>
                </c:pt>
                <c:pt idx="3">
                  <c:v>其他收入</c:v>
                </c:pt>
              </c:strCache>
            </c:strRef>
          </c:cat>
          <c:val>
            <c:numRef>
              <c:f>Sheet1!$C$4:$C$7</c:f>
              <c:numCache>
                <c:formatCode>0.00_ </c:formatCode>
                <c:ptCount val="4"/>
                <c:pt idx="0">
                  <c:v>573.36</c:v>
                </c:pt>
              </c:numCache>
            </c:numRef>
          </c:val>
        </c:ser>
        <c:dLbls>
          <c:showLegendKey val="1"/>
          <c:showVal val="1"/>
          <c:showCatName val="1"/>
          <c:showSerName val="1"/>
          <c:showPercent val="1"/>
          <c:showBubbleSize val="1"/>
        </c:dLbls>
      </c:pie3DChart>
      <c:spPr>
        <a:noFill/>
        <a:ln w="25400">
          <a:noFill/>
        </a:ln>
      </c:spPr>
    </c:plotArea>
    <c:legend>
      <c:legendPos val="r"/>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00" b="1" i="0" u="none" strike="noStrike" kern="1200" baseline="0">
                <a:solidFill>
                  <a:srgbClr val="000000"/>
                </a:solidFill>
                <a:latin typeface="Calibri" panose="020F0502020204030204"/>
                <a:ea typeface="Calibri" panose="020F0502020204030204"/>
                <a:cs typeface="Calibri" panose="020F0502020204030204"/>
              </a:defRPr>
            </a:pPr>
            <a:r>
              <a:rPr lang="zh-CN" altLang="en-US"/>
              <a:t>支出构成情况（按支出性质）</a:t>
            </a:r>
            <a:endParaRPr lang="zh-CN" altLang="en-US"/>
          </a:p>
        </c:rich>
      </c:tx>
      <c:layout>
        <c:manualLayout>
          <c:xMode val="edge"/>
          <c:yMode val="edge"/>
          <c:x val="0.270454106280193"/>
          <c:y val="0.774915254237288"/>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0"/>
          <c:dLbls>
            <c:delete val="1"/>
          </c:dLbls>
          <c:cat>
            <c:strRef>
              <c:f>'2'!$A$4:$A$6</c:f>
              <c:strCache>
                <c:ptCount val="3"/>
                <c:pt idx="0">
                  <c:v>基本支出</c:v>
                </c:pt>
                <c:pt idx="1">
                  <c:v>项目支出</c:v>
                </c:pt>
                <c:pt idx="2">
                  <c:v>经营支出</c:v>
                </c:pt>
              </c:strCache>
            </c:strRef>
          </c:cat>
          <c:val>
            <c:numRef>
              <c:f>'2'!$B$4:$B$6</c:f>
            </c:numRef>
          </c:val>
        </c:ser>
        <c:ser>
          <c:idx val="1"/>
          <c:order val="1"/>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showLeaderLines val="1"/>
                <c15:leaderLines>
                  <c:spPr>
                    <a:ln w="3175">
                      <a:solidFill>
                        <a:srgbClr val="000000"/>
                      </a:solidFill>
                      <a:round/>
                    </a:ln>
                  </c:spPr>
                </c15:leaderLines>
              </c:ext>
            </c:extLst>
          </c:dLbls>
          <c:cat>
            <c:strRef>
              <c:f>'2'!$A$4:$A$6</c:f>
              <c:strCache>
                <c:ptCount val="3"/>
                <c:pt idx="0">
                  <c:v>基本支出</c:v>
                </c:pt>
                <c:pt idx="1">
                  <c:v>项目支出</c:v>
                </c:pt>
                <c:pt idx="2">
                  <c:v>经营支出</c:v>
                </c:pt>
              </c:strCache>
            </c:strRef>
          </c:cat>
          <c:val>
            <c:numRef>
              <c:f>'2'!$C$4:$C$6</c:f>
              <c:numCache>
                <c:formatCode>0.00_ </c:formatCode>
                <c:ptCount val="3"/>
                <c:pt idx="0">
                  <c:v>575.09</c:v>
                </c:pt>
                <c:pt idx="1">
                  <c:v>0</c:v>
                </c:pt>
                <c:pt idx="2">
                  <c:v>0</c:v>
                </c:pt>
              </c:numCache>
            </c:numRef>
          </c:val>
        </c:ser>
        <c:dLbls>
          <c:showLegendKey val="0"/>
          <c:showVal val="0"/>
          <c:showCatName val="0"/>
          <c:showSerName val="0"/>
          <c:showPercent val="0"/>
          <c:showBubbleSize val="0"/>
        </c:dLbls>
      </c:pie3DChart>
      <c:spPr>
        <a:noFill/>
        <a:ln w="25400">
          <a:noFill/>
        </a:ln>
      </c:spPr>
    </c:plotArea>
    <c:legend>
      <c:legendPos val="r"/>
      <c:layout/>
      <c:overlay val="0"/>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solidFill>
                <a:latin typeface="Calibri" panose="020F0502020204030204"/>
                <a:ea typeface="Calibri" panose="020F0502020204030204"/>
                <a:cs typeface="Calibri" panose="020F0502020204030204"/>
              </a:defRPr>
            </a:pPr>
            <a:r>
              <a:rPr lang="zh-CN" altLang="en-US"/>
              <a:t>图</a:t>
            </a:r>
            <a:r>
              <a:rPr lang="en-US" altLang="zh-CN"/>
              <a:t>3</a:t>
            </a:r>
            <a:r>
              <a:rPr lang="zh-CN" altLang="en-US"/>
              <a:t>：</a:t>
            </a:r>
            <a:r>
              <a:rPr lang="en-US" altLang="zh-CN"/>
              <a:t>2018-2019</a:t>
            </a:r>
            <a:r>
              <a:rPr lang="zh-CN" altLang="en-US"/>
              <a:t>年财政拨款收支情况</a:t>
            </a:r>
            <a:endParaRPr lang="zh-CN" altLang="en-US"/>
          </a:p>
        </c:rich>
      </c:tx>
      <c:layout>
        <c:manualLayout>
          <c:xMode val="edge"/>
          <c:yMode val="edge"/>
          <c:x val="0.113048539818599"/>
          <c:y val="0.0572721430416164"/>
        </c:manualLayout>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'3'!$A$3:$D$3</c:f>
              <c:strCache>
                <c:ptCount val="4"/>
                <c:pt idx="0">
                  <c:v>2019年收入</c:v>
                </c:pt>
                <c:pt idx="1">
                  <c:v>2018年收入</c:v>
                </c:pt>
                <c:pt idx="2">
                  <c:v>2019年支出</c:v>
                </c:pt>
                <c:pt idx="3">
                  <c:v>2018年支出</c:v>
                </c:pt>
              </c:strCache>
            </c:strRef>
          </c:cat>
          <c:val>
            <c:numRef>
              <c:f>'3'!$A$2:$D$2</c:f>
              <c:numCache>
                <c:formatCode>#,##0.00</c:formatCode>
                <c:ptCount val="4"/>
                <c:pt idx="0">
                  <c:v>573.36</c:v>
                </c:pt>
                <c:pt idx="1">
                  <c:v>466.71</c:v>
                </c:pt>
                <c:pt idx="2">
                  <c:v>575.09</c:v>
                </c:pt>
                <c:pt idx="3">
                  <c:v>466.88</c:v>
                </c:pt>
              </c:numCache>
            </c:numRef>
          </c:val>
        </c:ser>
        <c:dLbls>
          <c:showLegendKey val="1"/>
          <c:showVal val="1"/>
          <c:showCatName val="1"/>
          <c:showSerName val="1"/>
          <c:showPercent val="1"/>
          <c:showBubbleSize val="1"/>
        </c:dLbls>
        <c:gapWidth val="150"/>
        <c:overlap val="-25"/>
        <c:axId val="185792384"/>
        <c:axId val="190004608"/>
      </c:barChart>
      <c:catAx>
        <c:axId val="185792384"/>
        <c:scaling>
          <c:orientation val="minMax"/>
        </c:scaling>
        <c:delete val="0"/>
        <c:axPos val="b"/>
        <c:numFmt formatCode="General"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0004608"/>
        <c:crosses val="autoZero"/>
        <c:auto val="1"/>
        <c:lblAlgn val="ctr"/>
        <c:lblOffset val="100"/>
        <c:noMultiLvlLbl val="0"/>
      </c:catAx>
      <c:valAx>
        <c:axId val="190004608"/>
        <c:scaling>
          <c:orientation val="minMax"/>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5792384"/>
        <c:crosses val="autoZero"/>
        <c:crossBetween val="between"/>
      </c:valAx>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Calibri" panose="020F0502020204030204"/>
                <a:ea typeface="Calibri" panose="020F0502020204030204"/>
                <a:cs typeface="Calibri" panose="020F0502020204030204"/>
              </a:defRPr>
            </a:pPr>
            <a:r>
              <a:rPr lang="zh-CN" altLang="en-US"/>
              <a:t>图</a:t>
            </a:r>
            <a:r>
              <a:rPr lang="en-US" altLang="zh-CN"/>
              <a:t>4</a:t>
            </a:r>
            <a:r>
              <a:rPr lang="zh-CN" altLang="en-US"/>
              <a:t>：财政拨款收支预决算对比情况</a:t>
            </a:r>
            <a:endParaRPr lang="zh-CN" altLang="en-US"/>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'4'!$A$4:$D$4</c:f>
              <c:strCache>
                <c:ptCount val="4"/>
                <c:pt idx="0">
                  <c:v>收入预算</c:v>
                </c:pt>
                <c:pt idx="1">
                  <c:v>收入决算</c:v>
                </c:pt>
                <c:pt idx="2">
                  <c:v>支出预算</c:v>
                </c:pt>
                <c:pt idx="3">
                  <c:v>支出决算</c:v>
                </c:pt>
              </c:strCache>
            </c:strRef>
          </c:cat>
          <c:val>
            <c:numRef>
              <c:f>'4'!$A$3:$D$3</c:f>
              <c:numCache>
                <c:formatCode>#,##0.00</c:formatCode>
                <c:ptCount val="4"/>
                <c:pt idx="0">
                  <c:v>500.96</c:v>
                </c:pt>
                <c:pt idx="1">
                  <c:v>573.36</c:v>
                </c:pt>
                <c:pt idx="2">
                  <c:v>500.96</c:v>
                </c:pt>
                <c:pt idx="3">
                  <c:v>575.09</c:v>
                </c:pt>
              </c:numCache>
            </c:numRef>
          </c:val>
        </c:ser>
        <c:dLbls>
          <c:showLegendKey val="1"/>
          <c:showVal val="1"/>
          <c:showCatName val="1"/>
          <c:showSerName val="1"/>
          <c:showPercent val="1"/>
          <c:showBubbleSize val="1"/>
        </c:dLbls>
        <c:gapWidth val="150"/>
        <c:overlap val="-25"/>
        <c:axId val="190007168"/>
        <c:axId val="258228224"/>
      </c:barChart>
      <c:catAx>
        <c:axId val="190007168"/>
        <c:scaling>
          <c:orientation val="minMax"/>
        </c:scaling>
        <c:delete val="0"/>
        <c:axPos val="b"/>
        <c:numFmt formatCode="General"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58228224"/>
        <c:crosses val="autoZero"/>
        <c:auto val="1"/>
        <c:lblAlgn val="ctr"/>
        <c:lblOffset val="100"/>
        <c:noMultiLvlLbl val="0"/>
      </c:catAx>
      <c:valAx>
        <c:axId val="258228224"/>
        <c:scaling>
          <c:orientation val="minMax"/>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0007168"/>
        <c:crosses val="autoZero"/>
        <c:crossBetween val="between"/>
      </c:valAx>
    </c:plotArea>
    <c:legend>
      <c:legendPos val="t"/>
      <c:layout/>
      <c:overlay val="0"/>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5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5</a:t>
            </a:r>
            <a:r>
              <a:rPr lang="zh-CN" altLang="en-US"/>
              <a:t>：财政拨款支出决算结构
（按功能分类）
</a:t>
            </a:r>
            <a:endParaRPr lang="zh-CN" altLang="en-US"/>
          </a:p>
        </c:rich>
      </c:tx>
      <c:layout>
        <c:manualLayout>
          <c:xMode val="edge"/>
          <c:yMode val="edge"/>
          <c:x val="0.161456692913386"/>
          <c:y val="0.036124911630628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292763628128258"/>
          <c:y val="0.619195046439629"/>
          <c:w val="0.286184670192791"/>
          <c:h val="0.1671826625387"/>
        </c:manualLayout>
      </c:layout>
      <c:pie3D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Pt>
            <c:idx val="20"/>
            <c:bubble3D val="0"/>
          </c:dPt>
          <c:dPt>
            <c:idx val="21"/>
            <c:bubble3D val="0"/>
          </c:dPt>
          <c:dPt>
            <c:idx val="22"/>
            <c:bubble3D val="0"/>
          </c:dPt>
          <c:dLbls>
            <c:dLbl>
              <c:idx val="0"/>
              <c:layout>
                <c:manualLayout>
                  <c:x val="-0.276135170603675"/>
                  <c:y val="0.248217748291668"/>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0.16830927384077"/>
                  <c:y val="0.0606570097105209"/>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4"/>
              <c:layout>
                <c:manualLayout>
                  <c:x val="-0.208053368328959"/>
                  <c:y val="-0.109809233029545"/>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5"/>
              <c:layout>
                <c:manualLayout>
                  <c:x val="-0.227960775736366"/>
                  <c:y val="-0.367340817091741"/>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6"/>
              <c:layout>
                <c:manualLayout>
                  <c:x val="-0.208979294254885"/>
                  <c:y val="-0.22837094342799"/>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7"/>
              <c:layout>
                <c:manualLayout>
                  <c:x val="-0.11775882181394"/>
                  <c:y val="-0.36337886335636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8"/>
              <c:layout>
                <c:manualLayout>
                  <c:x val="-0.318088509769613"/>
                  <c:y val="0.23517917403181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9"/>
              <c:layout>
                <c:manualLayout>
                  <c:x val="-0.253312190142899"/>
                  <c:y val="-0.374675818583901"/>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0"/>
              <c:layout>
                <c:manualLayout>
                  <c:x val="-0.101460338291047"/>
                  <c:y val="-0.29790225201441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1"/>
              <c:layout>
                <c:manualLayout>
                  <c:x val="-0.0398862642169729"/>
                  <c:y val="-0.284296809837546"/>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2"/>
              <c:layout>
                <c:manualLayout>
                  <c:x val="-0.318127004957714"/>
                  <c:y val="0.16565459929753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3"/>
              <c:layout>
                <c:manualLayout>
                  <c:x val="-0.29405293088364"/>
                  <c:y val="0.10054284030822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4"/>
              <c:layout>
                <c:manualLayout>
                  <c:x val="-0.301460338291047"/>
                  <c:y val="-0.000526158719955924"/>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5"/>
              <c:layout>
                <c:manualLayout>
                  <c:x val="-0.290349227179936"/>
                  <c:y val="-0.272635002257371"/>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6"/>
              <c:layout>
                <c:manualLayout>
                  <c:x val="0.239280402449694"/>
                  <c:y val="-0.0549479274274389"/>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7"/>
              <c:layout>
                <c:manualLayout>
                  <c:x val="0.224465587634879"/>
                  <c:y val="-0.12880604210188"/>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8"/>
              <c:layout>
                <c:manualLayout>
                  <c:x val="0.202997083697871"/>
                  <c:y val="-0.213838678328474"/>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9"/>
              <c:layout>
                <c:manualLayout>
                  <c:x val="0.150716681248177"/>
                  <c:y val="-0.279922254616132"/>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20"/>
              <c:layout>
                <c:manualLayout>
                  <c:x val="0.0988648293963256"/>
                  <c:y val="-0.33823129251700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21"/>
              <c:layout>
                <c:manualLayout>
                  <c:x val="0.00997594050743658"/>
                  <c:y val="-0.338231292517007"/>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22"/>
              <c:layout>
                <c:manualLayout>
                  <c:x val="-0.0937277631962673"/>
                  <c:y val="-0.353780369290574"/>
                </c:manualLayout>
              </c:layout>
              <c:dLblPos val="bestFit"/>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showLeaderLines val="1"/>
              </c:ext>
            </c:extLst>
          </c:dLbls>
          <c:cat>
            <c:strRef>
              <c:f>'5'!$F$1:$F$23</c:f>
              <c:strCache>
                <c:ptCount val="23"/>
                <c:pt idx="0">
                  <c:v>一般公共服务支出</c:v>
                </c:pt>
                <c:pt idx="1">
                  <c:v>外交支出</c:v>
                </c:pt>
                <c:pt idx="2">
                  <c:v>国防支出</c:v>
                </c:pt>
                <c:pt idx="3">
                  <c:v>公共安全支出</c:v>
                </c:pt>
                <c:pt idx="4">
                  <c:v>教育支出</c:v>
                </c:pt>
                <c:pt idx="5">
                  <c:v>科学技术支出</c:v>
                </c:pt>
                <c:pt idx="6">
                  <c:v>文化体育与传媒支出</c:v>
                </c:pt>
                <c:pt idx="7">
                  <c:v>社会保障和就业支出</c:v>
                </c:pt>
                <c:pt idx="8">
                  <c:v>医疗卫生与计划生育支出</c:v>
                </c:pt>
                <c:pt idx="9">
                  <c:v>节能环保支出</c:v>
                </c:pt>
                <c:pt idx="10">
                  <c:v>城乡社区支出</c:v>
                </c:pt>
                <c:pt idx="11">
                  <c:v>农林水支出</c:v>
                </c:pt>
                <c:pt idx="12">
                  <c:v>交通运输支出</c:v>
                </c:pt>
                <c:pt idx="13">
                  <c:v>资源勘探信息等支出</c:v>
                </c:pt>
                <c:pt idx="14">
                  <c:v>商业服务业等支出</c:v>
                </c:pt>
                <c:pt idx="15">
                  <c:v>金融支出</c:v>
                </c:pt>
                <c:pt idx="16">
                  <c:v>援助其他地区支出</c:v>
                </c:pt>
                <c:pt idx="17">
                  <c:v>国土海洋气象等支出</c:v>
                </c:pt>
                <c:pt idx="18">
                  <c:v>住房保障支出</c:v>
                </c:pt>
                <c:pt idx="19">
                  <c:v>粮油物资储备支出</c:v>
                </c:pt>
                <c:pt idx="20">
                  <c:v>其他支出</c:v>
                </c:pt>
                <c:pt idx="21">
                  <c:v>债务还本支出</c:v>
                </c:pt>
                <c:pt idx="22">
                  <c:v>债务付息支出</c:v>
                </c:pt>
              </c:strCache>
            </c:strRef>
          </c:cat>
          <c:val>
            <c:numRef>
              <c:f>'5'!$E$1:$E$23</c:f>
              <c:numCache>
                <c:formatCode>#,##0.00</c:formatCode>
                <c:ptCount val="23"/>
                <c:pt idx="0">
                  <c:v>0</c:v>
                </c:pt>
                <c:pt idx="1" formatCode="General">
                  <c:v>0</c:v>
                </c:pt>
                <c:pt idx="2">
                  <c:v>0</c:v>
                </c:pt>
                <c:pt idx="3" formatCode="General">
                  <c:v>506.89</c:v>
                </c:pt>
                <c:pt idx="4" formatCode="General">
                  <c:v>0</c:v>
                </c:pt>
                <c:pt idx="5" formatCode="General">
                  <c:v>0</c:v>
                </c:pt>
                <c:pt idx="6">
                  <c:v>0</c:v>
                </c:pt>
                <c:pt idx="7">
                  <c:v>45.4</c:v>
                </c:pt>
                <c:pt idx="8">
                  <c:v>7.87</c:v>
                </c:pt>
                <c:pt idx="9">
                  <c:v>0</c:v>
                </c:pt>
                <c:pt idx="10" formatCode="General">
                  <c:v>0</c:v>
                </c:pt>
                <c:pt idx="11">
                  <c:v>0</c:v>
                </c:pt>
                <c:pt idx="12" formatCode="General">
                  <c:v>0</c:v>
                </c:pt>
                <c:pt idx="13" formatCode="General">
                  <c:v>0</c:v>
                </c:pt>
                <c:pt idx="14" formatCode="General">
                  <c:v>0</c:v>
                </c:pt>
                <c:pt idx="15" formatCode="General">
                  <c:v>0</c:v>
                </c:pt>
                <c:pt idx="16" formatCode="General">
                  <c:v>0</c:v>
                </c:pt>
                <c:pt idx="17" formatCode="General">
                  <c:v>0</c:v>
                </c:pt>
                <c:pt idx="18">
                  <c:v>14.94</c:v>
                </c:pt>
                <c:pt idx="19" formatCode="General">
                  <c:v>0</c:v>
                </c:pt>
                <c:pt idx="20" formatCode="General">
                  <c:v>0</c:v>
                </c:pt>
                <c:pt idx="21" formatCode="General">
                  <c:v>0</c:v>
                </c:pt>
                <c:pt idx="22" formatCode="General">
                  <c:v>0</c:v>
                </c:pt>
              </c:numCache>
            </c:numRef>
          </c:val>
        </c:ser>
        <c:dLbls>
          <c:showLegendKey val="1"/>
          <c:showVal val="1"/>
          <c:showCatName val="1"/>
          <c:showSerName val="1"/>
          <c:showPercent val="1"/>
          <c:showBubbleSize val="1"/>
        </c:dLbls>
      </c:pie3DChart>
      <c:spPr>
        <a:noFill/>
        <a:ln w="25400">
          <a:noFill/>
        </a:ln>
      </c:spPr>
    </c:plotArea>
    <c:legend>
      <c:legendPos val="r"/>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0</TotalTime>
  <Pages>48</Pages>
  <Words>3011</Words>
  <Characters>17167</Characters>
  <Application>Microsoft Office Word</Application>
  <DocSecurity>0</DocSecurity>
  <Lines>143</Lines>
  <Paragraphs>40</Paragraphs>
  <ScaleCrop>false</ScaleCrop>
  <Company>Microsoft</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珍爱一生</cp:lastModifiedBy>
  <cp:revision>9</cp:revision>
  <cp:lastPrinted>2020-07-30T02:37:00Z</cp:lastPrinted>
  <dcterms:created xsi:type="dcterms:W3CDTF">2021-04-27T00:06:00Z</dcterms:created>
  <dcterms:modified xsi:type="dcterms:W3CDTF">2019-09-06T01:57:54Z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ABEFA8BB9AED40609CFC05022CAFDC3A</vt:lpwstr>
  </property>
  <property fmtid="{D5CDD505-2E9C-101B-9397-08002B2CF9AE}" pid="3" name="KSOProductBuildVer">
    <vt:lpwstr>2052-11.1.0.10495</vt:lpwstr>
  </property>
  <property fmtid="{D5CDD505-2E9C-101B-9397-08002B2CF9AE}" pid="4" name="KSOSaveFontToCloudKey">
    <vt:lpwstr>363207740_cloud</vt:lpwstr>
  </property>
</Properties>
</file>