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autoSpaceDE w:val="0"/>
        <w:spacing w:line="560" w:lineRule="exact"/>
        <w:jc w:val="center"/>
        <w:rPr>
          <w:rFonts w:ascii="黑体" w:eastAsia="黑体" w:hAnsi="黑体" w:cs="黑体" w:hint="eastAsia"/>
          <w:bCs/>
          <w:sz w:val="36"/>
          <w:szCs w:val="36"/>
        </w:rPr>
      </w:pPr>
      <w:r>
        <w:rPr>
          <w:rFonts w:ascii="黑体" w:eastAsia="黑体" w:hAnsi="黑体" w:hint="eastAsia"/>
          <w:sz w:val="36"/>
          <w:szCs w:val="36"/>
        </w:rPr>
        <w:t>丰宁满族自治县</w:t>
      </w:r>
      <w:r>
        <w:rPr>
          <w:rFonts w:ascii="黑体" w:eastAsia="黑体" w:hAnsi="黑体"/>
          <w:sz w:val="36"/>
          <w:szCs w:val="36"/>
        </w:rPr>
        <w:t>落</w:t>
      </w:r>
      <w:bookmarkStart w:id="0" w:name="_GoBack"/>
      <w:bookmarkEnd w:id="0"/>
      <w:r>
        <w:rPr>
          <w:rFonts w:ascii="黑体" w:eastAsia="黑体" w:hAnsi="黑体"/>
          <w:sz w:val="36"/>
          <w:szCs w:val="36"/>
        </w:rPr>
        <w:t>实</w:t>
      </w:r>
      <w:r>
        <w:rPr>
          <w:rFonts w:ascii="黑体" w:eastAsia="黑体" w:hAnsi="黑体" w:cs="黑体" w:hint="eastAsia"/>
          <w:b w:val="0"/>
          <w:bCs/>
          <w:sz w:val="36"/>
          <w:szCs w:val="36"/>
          <w:lang w:eastAsia="zh-CN"/>
        </w:rPr>
        <w:t>“三项计划”</w:t>
      </w:r>
      <w:r>
        <w:rPr>
          <w:rFonts w:ascii="黑体" w:eastAsia="黑体" w:hAnsi="黑体" w:cs="黑体"/>
          <w:b w:val="0"/>
          <w:bCs/>
          <w:sz w:val="36"/>
          <w:szCs w:val="36"/>
          <w:lang w:eastAsia="zh-CN"/>
        </w:rPr>
        <w:t>促进各民族交融发展</w:t>
      </w:r>
    </w:p>
    <w:p>
      <w:pPr>
        <w:pStyle w:val="BodyText"/>
        <w:keepNext w:val="0"/>
        <w:keepLines w:val="0"/>
        <w:pageBreakBefore w:val="0"/>
        <w:widowControl w:val="0"/>
        <w:kinsoku/>
        <w:wordWrap/>
        <w:overflowPunct/>
        <w:topLinePunct w:val="0"/>
        <w:autoSpaceDN/>
        <w:bidi w:val="0"/>
        <w:adjustRightInd/>
        <w:snapToGrid/>
        <w:spacing w:line="5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hint="eastAsia"/>
          <w:color w:val="000000"/>
          <w:sz w:val="32"/>
          <w:szCs w:val="32"/>
          <w:shd w:val="clear" w:color="auto" w:fill="FFFFFF"/>
          <w:lang w:val="en-US" w:eastAsia="zh-CN"/>
        </w:rPr>
      </w:pPr>
      <w:r>
        <w:rPr>
          <w:rFonts w:ascii="仿宋_GB2312" w:eastAsia="仿宋_GB2312" w:hAnsi="仿宋_GB2312" w:cs="仿宋_GB2312"/>
          <w:b w:val="0"/>
          <w:sz w:val="32"/>
          <w:szCs w:val="32"/>
        </w:rPr>
        <w:t>丰宁满族</w:t>
      </w:r>
      <w:r>
        <w:rPr>
          <w:rFonts w:ascii="仿宋_GB2312" w:eastAsia="仿宋_GB2312" w:hAnsi="仿宋_GB2312" w:cs="仿宋_GB2312" w:hint="eastAsia"/>
          <w:b w:val="0"/>
          <w:sz w:val="32"/>
          <w:szCs w:val="32"/>
        </w:rPr>
        <w:t>自治县成立之初，</w:t>
      </w:r>
      <w:r>
        <w:rPr>
          <w:rFonts w:ascii="仿宋_GB2312" w:eastAsia="仿宋_GB2312" w:hAnsi="仿宋_GB2312" w:cs="仿宋_GB2312"/>
          <w:b w:val="0"/>
          <w:sz w:val="32"/>
          <w:szCs w:val="32"/>
        </w:rPr>
        <w:t>共</w:t>
      </w:r>
      <w:r>
        <w:rPr>
          <w:rFonts w:ascii="仿宋_GB2312" w:eastAsia="仿宋_GB2312" w:hAnsi="仿宋_GB2312" w:cs="仿宋_GB2312" w:hint="eastAsia"/>
          <w:b w:val="0"/>
          <w:sz w:val="32"/>
          <w:szCs w:val="32"/>
        </w:rPr>
        <w:t>有11个民族，随着经济发展和社会进步，通过经商、通婚、走亲访友等方式，使</w:t>
      </w:r>
      <w:r>
        <w:rPr>
          <w:rFonts w:ascii="仿宋_GB2312" w:eastAsia="仿宋_GB2312" w:hAnsi="仿宋_GB2312" w:cs="仿宋_GB2312" w:hint="eastAsia"/>
          <w:b w:val="0"/>
          <w:sz w:val="32"/>
          <w:szCs w:val="32"/>
          <w:lang w:eastAsia="zh-CN"/>
        </w:rPr>
        <w:t>丰宁</w:t>
      </w:r>
      <w:r>
        <w:rPr>
          <w:rFonts w:ascii="仿宋_GB2312" w:eastAsia="仿宋_GB2312" w:hAnsi="仿宋_GB2312" w:cs="仿宋_GB2312" w:hint="eastAsia"/>
          <w:b w:val="0"/>
          <w:sz w:val="32"/>
          <w:szCs w:val="32"/>
        </w:rPr>
        <w:t>的民族构成日益多元化，现在，已有35个</w:t>
      </w:r>
      <w:r>
        <w:rPr>
          <w:rFonts w:ascii="仿宋_GB2312" w:eastAsia="仿宋_GB2312" w:hAnsi="仿宋_GB2312" w:cs="仿宋_GB2312" w:hint="eastAsia"/>
          <w:b w:val="0"/>
          <w:sz w:val="32"/>
          <w:szCs w:val="32"/>
          <w:lang w:eastAsia="zh-CN"/>
        </w:rPr>
        <w:t>民族</w:t>
      </w:r>
      <w:r>
        <w:rPr>
          <w:rFonts w:ascii="仿宋_GB2312" w:eastAsia="仿宋_GB2312" w:hAnsi="仿宋_GB2312" w:cs="仿宋_GB2312" w:hint="eastAsia"/>
          <w:b w:val="0"/>
          <w:sz w:val="32"/>
          <w:szCs w:val="32"/>
        </w:rPr>
        <w:t>，分布在全县2</w:t>
      </w:r>
      <w:r>
        <w:rPr>
          <w:rFonts w:ascii="仿宋_GB2312" w:eastAsia="仿宋_GB2312" w:hAnsi="仿宋_GB2312" w:cs="仿宋_GB2312" w:hint="eastAsia"/>
          <w:b w:val="0"/>
          <w:sz w:val="32"/>
          <w:szCs w:val="32"/>
          <w:lang w:val="en-US" w:eastAsia="zh-CN"/>
        </w:rPr>
        <w:t>8</w:t>
      </w:r>
      <w:r>
        <w:rPr>
          <w:rFonts w:ascii="仿宋_GB2312" w:eastAsia="仿宋_GB2312" w:hAnsi="仿宋_GB2312" w:cs="仿宋_GB2312" w:hint="eastAsia"/>
          <w:b w:val="0"/>
          <w:sz w:val="32"/>
          <w:szCs w:val="32"/>
        </w:rPr>
        <w:t>个乡镇、</w:t>
      </w:r>
      <w:r>
        <w:rPr>
          <w:rFonts w:ascii="仿宋_GB2312" w:eastAsia="仿宋_GB2312" w:hAnsi="仿宋_GB2312" w:cs="仿宋_GB2312" w:hint="eastAsia"/>
          <w:b w:val="0"/>
          <w:sz w:val="32"/>
          <w:szCs w:val="32"/>
          <w:lang w:eastAsia="zh-CN"/>
        </w:rPr>
        <w:t>街道、</w:t>
      </w:r>
      <w:r>
        <w:rPr>
          <w:rFonts w:ascii="仿宋_GB2312" w:eastAsia="仿宋_GB2312" w:hAnsi="仿宋_GB2312" w:cs="仿宋_GB2312" w:hint="eastAsia"/>
          <w:b w:val="0"/>
          <w:sz w:val="32"/>
          <w:szCs w:val="32"/>
        </w:rPr>
        <w:t>开发区</w:t>
      </w:r>
      <w:r>
        <w:rPr>
          <w:rFonts w:ascii="仿宋_GB2312" w:eastAsia="仿宋_GB2312" w:hAnsi="仿宋_GB2312" w:cs="仿宋_GB2312" w:hint="eastAsia"/>
          <w:b w:val="0"/>
          <w:sz w:val="32"/>
          <w:szCs w:val="32"/>
          <w:lang w:val="en-US" w:eastAsia="zh-CN"/>
        </w:rPr>
        <w:t>，</w:t>
      </w:r>
      <w:r>
        <w:rPr>
          <w:rFonts w:ascii="仿宋_GB2312" w:eastAsia="仿宋_GB2312" w:hAnsi="仿宋_GB2312" w:cs="仿宋_GB2312" w:hint="eastAsia"/>
          <w:b w:val="0"/>
          <w:sz w:val="32"/>
          <w:szCs w:val="32"/>
        </w:rPr>
        <w:t>少数民族占总人口的7</w:t>
      </w:r>
      <w:r>
        <w:rPr>
          <w:rFonts w:ascii="仿宋_GB2312" w:eastAsia="仿宋_GB2312" w:hAnsi="仿宋_GB2312" w:cs="仿宋_GB2312"/>
          <w:b w:val="0"/>
          <w:sz w:val="32"/>
          <w:szCs w:val="32"/>
        </w:rPr>
        <w:t>3</w:t>
      </w:r>
      <w:r>
        <w:rPr>
          <w:rFonts w:ascii="仿宋_GB2312" w:eastAsia="仿宋_GB2312" w:hAnsi="仿宋_GB2312" w:cs="仿宋_GB2312" w:hint="eastAsia"/>
          <w:b w:val="0"/>
          <w:sz w:val="32"/>
          <w:szCs w:val="32"/>
        </w:rPr>
        <w:t>.</w:t>
      </w:r>
      <w:r>
        <w:rPr>
          <w:rFonts w:ascii="仿宋_GB2312" w:eastAsia="仿宋_GB2312" w:hAnsi="仿宋_GB2312" w:cs="仿宋_GB2312"/>
          <w:b w:val="0"/>
          <w:sz w:val="32"/>
          <w:szCs w:val="32"/>
        </w:rPr>
        <w:t>02</w:t>
      </w:r>
      <w:r>
        <w:rPr>
          <w:rFonts w:ascii="仿宋_GB2312" w:eastAsia="仿宋_GB2312" w:hAnsi="仿宋_GB2312" w:cs="仿宋_GB2312" w:hint="eastAsia"/>
          <w:b w:val="0"/>
          <w:sz w:val="32"/>
          <w:szCs w:val="32"/>
        </w:rPr>
        <w:t>％</w:t>
      </w:r>
      <w:r>
        <w:rPr>
          <w:rFonts w:ascii="仿宋_GB2312" w:eastAsia="仿宋_GB2312" w:hAnsi="仿宋_GB2312" w:cs="仿宋_GB2312" w:hint="eastAsia"/>
          <w:b w:val="0"/>
          <w:sz w:val="32"/>
          <w:szCs w:val="32"/>
          <w:lang w:eastAsia="zh-CN"/>
        </w:rPr>
        <w:t>。</w:t>
      </w:r>
      <w:r>
        <w:rPr>
          <w:rFonts w:ascii="仿宋_GB2312" w:eastAsia="仿宋_GB2312" w:hAnsi="仿宋_GB2312" w:cs="仿宋_GB2312" w:hint="eastAsia"/>
          <w:color w:val="000000"/>
          <w:sz w:val="32"/>
          <w:szCs w:val="32"/>
          <w:shd w:val="clear" w:color="auto" w:fill="FFFFFF"/>
          <w:lang w:eastAsia="zh-CN"/>
        </w:rPr>
        <w:t>为</w:t>
      </w:r>
      <w:r>
        <w:rPr>
          <w:rFonts w:ascii="仿宋_GB2312" w:eastAsia="仿宋_GB2312" w:hint="eastAsia"/>
          <w:color w:val="000000"/>
          <w:sz w:val="32"/>
          <w:szCs w:val="32"/>
          <w:shd w:val="clear" w:color="auto" w:fill="FFFFFF"/>
          <w:lang w:val="en-US" w:eastAsia="zh-CN"/>
        </w:rPr>
        <w:t>贯彻落实习近平总书记关于加强和改进民族工作的重要思想和中央民族工作会议精神，丰宁以</w:t>
      </w:r>
      <w:r>
        <w:rPr>
          <w:rFonts w:ascii="仿宋_GB2312" w:eastAsia="仿宋_GB2312" w:cs="Times New Roman" w:hint="eastAsia"/>
          <w:color w:val="000000"/>
          <w:sz w:val="32"/>
          <w:szCs w:val="32"/>
          <w:shd w:val="clear" w:color="auto" w:fill="FFFFFF"/>
          <w:lang w:val="en-US" w:eastAsia="zh-CN"/>
        </w:rPr>
        <w:t>铸牢中华民族共同体意识为主线，</w:t>
      </w:r>
      <w:r>
        <w:rPr>
          <w:rFonts w:ascii="仿宋_GB2312" w:eastAsia="仿宋_GB2312" w:cs="Times New Roman"/>
          <w:color w:val="000000"/>
          <w:sz w:val="32"/>
          <w:szCs w:val="32"/>
          <w:shd w:val="clear" w:color="auto" w:fill="FFFFFF"/>
          <w:lang w:val="en-US" w:eastAsia="zh-CN"/>
        </w:rPr>
        <w:t>贯彻落实国家民委</w:t>
      </w:r>
      <w:r>
        <w:rPr>
          <w:rFonts w:ascii="仿宋_GB2312" w:eastAsia="仿宋_GB2312" w:hint="eastAsia"/>
          <w:color w:val="000000"/>
          <w:sz w:val="32"/>
          <w:szCs w:val="32"/>
          <w:shd w:val="clear" w:color="auto" w:fill="FFFFFF"/>
          <w:lang w:eastAsia="zh-CN"/>
        </w:rPr>
        <w:t>“三项计划”，</w:t>
      </w:r>
      <w:r>
        <w:rPr>
          <w:rFonts w:ascii="仿宋_GB2312" w:eastAsia="仿宋_GB2312" w:cs="Times New Roman" w:hint="eastAsia"/>
          <w:color w:val="000000"/>
          <w:sz w:val="32"/>
          <w:szCs w:val="32"/>
          <w:shd w:val="clear" w:color="auto" w:fill="FFFFFF"/>
          <w:lang w:val="en-US" w:eastAsia="zh-CN"/>
        </w:rPr>
        <w:t>不断促</w:t>
      </w:r>
      <w:r>
        <w:rPr>
          <w:rFonts w:ascii="仿宋_GB2312" w:eastAsia="仿宋_GB2312" w:hint="eastAsia"/>
          <w:color w:val="000000"/>
          <w:sz w:val="32"/>
          <w:szCs w:val="32"/>
          <w:shd w:val="clear" w:color="auto" w:fill="FFFFFF"/>
          <w:lang w:val="en-US" w:eastAsia="zh-CN"/>
        </w:rPr>
        <w:t>进各民族</w:t>
      </w:r>
      <w:r>
        <w:rPr>
          <w:rFonts w:ascii="仿宋_GB2312" w:eastAsia="仿宋_GB2312" w:cs="Times New Roman" w:hint="eastAsia"/>
          <w:color w:val="000000"/>
          <w:sz w:val="32"/>
          <w:szCs w:val="32"/>
          <w:shd w:val="clear" w:color="auto" w:fill="FFFFFF"/>
          <w:lang w:val="en-US" w:eastAsia="zh-CN"/>
        </w:rPr>
        <w:t>交融</w:t>
      </w:r>
      <w:r>
        <w:rPr>
          <w:rFonts w:ascii="仿宋_GB2312" w:eastAsia="仿宋_GB2312" w:cs="Times New Roman"/>
          <w:color w:val="000000"/>
          <w:sz w:val="32"/>
          <w:szCs w:val="32"/>
          <w:shd w:val="clear" w:color="auto" w:fill="FFFFFF"/>
          <w:lang w:val="en-US" w:eastAsia="zh-CN"/>
        </w:rPr>
        <w:t>发展</w:t>
      </w:r>
      <w:r>
        <w:rPr>
          <w:rFonts w:ascii="仿宋_GB2312" w:eastAsia="仿宋_GB2312" w:cs="Times New Roman" w:hint="eastAsia"/>
          <w:color w:val="000000"/>
          <w:sz w:val="32"/>
          <w:szCs w:val="32"/>
          <w:shd w:val="clear" w:color="auto" w:fill="FFFFFF"/>
          <w:lang w:val="en-US" w:eastAsia="zh-CN"/>
        </w:rPr>
        <w:t>。</w:t>
      </w:r>
    </w:p>
    <w:p>
      <w:pPr>
        <w:pageBreakBefore w:val="0"/>
        <w:widowControl w:val="0"/>
        <w:kinsoku/>
        <w:wordWrap/>
        <w:overflowPunct/>
        <w:topLinePunct w:val="0"/>
        <w:autoSpaceDE/>
        <w:autoSpaceDN/>
        <w:adjustRightInd/>
        <w:snapToGrid/>
        <w:spacing w:line="560" w:lineRule="exact"/>
        <w:ind w:left="0" w:firstLine="640" w:firstLineChars="200"/>
        <w:rPr>
          <w:rFonts w:ascii="黑体" w:eastAsia="黑体" w:hAnsi="黑体" w:cs="黑体"/>
          <w:color w:val="000000"/>
          <w:sz w:val="32"/>
          <w:szCs w:val="32"/>
          <w:shd w:val="clear" w:color="auto" w:fill="FFFFFF"/>
          <w:lang w:val="en-US"/>
        </w:rPr>
      </w:pPr>
      <w:r>
        <w:rPr>
          <w:rFonts w:ascii="黑体" w:eastAsia="黑体" w:hAnsi="黑体" w:cs="黑体"/>
          <w:color w:val="000000"/>
          <w:sz w:val="32"/>
          <w:szCs w:val="32"/>
          <w:shd w:val="clear" w:color="auto" w:fill="FFFFFF"/>
          <w:lang w:eastAsia="zh-CN"/>
        </w:rPr>
        <w:t>一、</w:t>
      </w:r>
      <w:r>
        <w:rPr>
          <w:rFonts w:ascii="黑体" w:eastAsia="黑体" w:hAnsi="黑体" w:cs="黑体" w:hint="eastAsia"/>
          <w:color w:val="000000"/>
          <w:sz w:val="32"/>
          <w:szCs w:val="32"/>
          <w:shd w:val="clear" w:color="auto" w:fill="FFFFFF"/>
          <w:lang w:eastAsia="zh-CN"/>
        </w:rPr>
        <w:t>制定实施方案，明确</w:t>
      </w:r>
      <w:r>
        <w:rPr>
          <w:rFonts w:ascii="黑体" w:eastAsia="黑体" w:hAnsi="黑体" w:cs="黑体" w:hint="eastAsia"/>
          <w:color w:val="000000"/>
          <w:sz w:val="32"/>
          <w:szCs w:val="32"/>
          <w:shd w:val="clear" w:color="auto" w:fill="FFFFFF"/>
          <w:lang w:val="en-US"/>
        </w:rPr>
        <w:t>发展任务</w:t>
      </w:r>
    </w:p>
    <w:p>
      <w:pPr>
        <w:pageBreakBefore w:val="0"/>
        <w:widowControl w:val="0"/>
        <w:kinsoku/>
        <w:wordWrap/>
        <w:overflowPunct/>
        <w:topLinePunct w:val="0"/>
        <w:autoSpaceDE/>
        <w:autoSpaceDN/>
        <w:adjustRightInd/>
        <w:snapToGrid/>
        <w:spacing w:line="560" w:lineRule="exact"/>
        <w:ind w:left="0" w:firstLine="640" w:firstLineChars="200"/>
        <w:rPr>
          <w:rFonts w:ascii="仿宋_GB2312" w:eastAsia="仿宋_GB2312"/>
          <w:color w:val="000000"/>
          <w:sz w:val="32"/>
          <w:szCs w:val="32"/>
          <w:shd w:val="clear" w:color="auto" w:fill="FFFFFF"/>
        </w:rPr>
      </w:pPr>
      <w:r>
        <w:rPr>
          <w:rFonts w:ascii="楷体" w:eastAsia="楷体" w:hAnsi="楷体" w:cs="楷体" w:hint="eastAsia"/>
          <w:b/>
          <w:bCs/>
          <w:color w:val="000000"/>
          <w:sz w:val="32"/>
          <w:szCs w:val="32"/>
          <w:shd w:val="clear" w:color="auto" w:fill="FFFFFF"/>
          <w:lang w:val="en-US" w:eastAsia="zh-CN"/>
        </w:rPr>
        <w:t>《关于</w:t>
      </w:r>
      <w:r>
        <w:rPr>
          <w:rFonts w:ascii="楷体" w:eastAsia="楷体" w:hAnsi="楷体" w:cs="楷体" w:hint="eastAsia"/>
          <w:b/>
          <w:bCs/>
          <w:color w:val="000000"/>
          <w:sz w:val="32"/>
          <w:szCs w:val="32"/>
          <w:shd w:val="clear" w:color="auto" w:fill="FFFFFF"/>
        </w:rPr>
        <w:t>落实各族群众互嵌式发展计划的实施方案》</w:t>
      </w:r>
      <w:r>
        <w:rPr>
          <w:rFonts w:ascii="仿宋_GB2312" w:eastAsia="仿宋_GB2312"/>
          <w:color w:val="000000"/>
          <w:sz w:val="32"/>
          <w:szCs w:val="32"/>
          <w:shd w:val="clear" w:color="auto" w:fill="FFFFFF"/>
        </w:rPr>
        <w:t>。</w:t>
      </w:r>
      <w:r>
        <w:rPr>
          <w:rFonts w:ascii="仿宋_GB2312" w:eastAsia="仿宋_GB2312" w:hint="eastAsia"/>
          <w:color w:val="000000"/>
          <w:sz w:val="32"/>
          <w:szCs w:val="32"/>
          <w:shd w:val="clear" w:color="auto" w:fill="FFFFFF"/>
        </w:rPr>
        <w:t>鼓励支持民族地区各族群众到丰宁就业创业，鼓励支持丰宁企业和人才到民族地区就业创业，鼓励支持与新疆、西藏等民族地区各族群众互相往来、求学就业、居住生活。</w:t>
      </w:r>
    </w:p>
    <w:p>
      <w:pPr>
        <w:pageBreakBefore w:val="0"/>
        <w:widowControl w:val="0"/>
        <w:kinsoku/>
        <w:wordWrap/>
        <w:overflowPunct/>
        <w:topLinePunct w:val="0"/>
        <w:autoSpaceDE/>
        <w:autoSpaceDN/>
        <w:adjustRightInd/>
        <w:snapToGrid/>
        <w:spacing w:line="560" w:lineRule="exact"/>
        <w:ind w:left="0" w:firstLine="640" w:firstLineChars="200"/>
        <w:rPr>
          <w:rFonts w:ascii="仿宋_GB2312" w:eastAsia="仿宋_GB2312"/>
          <w:color w:val="000000"/>
          <w:sz w:val="32"/>
          <w:szCs w:val="32"/>
          <w:shd w:val="clear" w:color="auto" w:fill="FFFFFF"/>
          <w:lang w:eastAsia="zh-CN"/>
        </w:rPr>
      </w:pPr>
      <w:r>
        <w:rPr>
          <w:rFonts w:ascii="楷体" w:eastAsia="楷体" w:hAnsi="楷体" w:cs="楷体" w:hint="eastAsia"/>
          <w:b/>
          <w:bCs/>
          <w:color w:val="000000"/>
          <w:sz w:val="32"/>
          <w:szCs w:val="32"/>
          <w:shd w:val="clear" w:color="auto" w:fill="FFFFFF"/>
          <w:lang w:eastAsia="zh-CN"/>
        </w:rPr>
        <w:t>《关于落实旅游促进各民族交往交流交融计划实施方案</w:t>
      </w:r>
      <w:r>
        <w:rPr>
          <w:rFonts w:ascii="楷体" w:eastAsia="楷体" w:hAnsi="楷体" w:cs="楷体"/>
          <w:b/>
          <w:bCs/>
          <w:color w:val="000000"/>
          <w:sz w:val="32"/>
          <w:szCs w:val="32"/>
          <w:shd w:val="clear" w:color="auto" w:fill="FFFFFF"/>
          <w:lang w:eastAsia="zh-CN"/>
        </w:rPr>
        <w:t>》。</w:t>
      </w:r>
      <w:r>
        <w:rPr>
          <w:rFonts w:ascii="仿宋_GB2312" w:eastAsia="仿宋_GB2312"/>
          <w:color w:val="000000"/>
          <w:sz w:val="32"/>
          <w:szCs w:val="32"/>
          <w:shd w:val="clear" w:color="auto" w:fill="FFFFFF"/>
          <w:lang w:eastAsia="zh-CN"/>
        </w:rPr>
        <w:t>以</w:t>
      </w:r>
      <w:r>
        <w:rPr>
          <w:rFonts w:ascii="仿宋_GB2312" w:eastAsia="仿宋_GB2312" w:hint="eastAsia"/>
          <w:color w:val="000000"/>
          <w:sz w:val="32"/>
          <w:szCs w:val="32"/>
          <w:shd w:val="clear" w:color="auto" w:fill="FFFFFF"/>
          <w:lang w:eastAsia="zh-CN"/>
        </w:rPr>
        <w:t>“突出主线、旅游为民、因地制宜、创新发展”</w:t>
      </w:r>
      <w:r>
        <w:rPr>
          <w:rFonts w:ascii="仿宋_GB2312" w:eastAsia="仿宋_GB2312"/>
          <w:color w:val="000000"/>
          <w:sz w:val="32"/>
          <w:szCs w:val="32"/>
          <w:shd w:val="clear" w:color="auto" w:fill="FFFFFF"/>
          <w:lang w:eastAsia="zh-CN"/>
        </w:rPr>
        <w:t>为原则</w:t>
      </w:r>
      <w:r>
        <w:rPr>
          <w:rFonts w:ascii="仿宋_GB2312" w:eastAsia="仿宋_GB2312" w:hint="eastAsia"/>
          <w:color w:val="000000"/>
          <w:sz w:val="32"/>
          <w:szCs w:val="32"/>
          <w:shd w:val="clear" w:color="auto" w:fill="FFFFFF"/>
          <w:lang w:eastAsia="zh-CN"/>
        </w:rPr>
        <w:t>，发挥丰宁历史文化、自然资源和交通区位优势，以蓬勃发展的旅游业推进各民族互嵌式发展。</w:t>
      </w:r>
    </w:p>
    <w:p>
      <w:pPr>
        <w:pageBreakBefore w:val="0"/>
        <w:widowControl w:val="0"/>
        <w:kinsoku/>
        <w:wordWrap/>
        <w:overflowPunct/>
        <w:topLinePunct w:val="0"/>
        <w:autoSpaceDE/>
        <w:autoSpaceDN/>
        <w:adjustRightInd/>
        <w:snapToGrid/>
        <w:spacing w:line="560" w:lineRule="exact"/>
        <w:ind w:left="0" w:firstLine="640" w:firstLineChars="200"/>
        <w:rPr>
          <w:rFonts w:ascii="仿宋_GB2312" w:eastAsia="仿宋_GB2312" w:hAnsi="仿宋_GB2312" w:cs="仿宋_GB2312" w:hint="eastAsia"/>
          <w:sz w:val="32"/>
          <w:szCs w:val="32"/>
        </w:rPr>
      </w:pPr>
      <w:r>
        <w:rPr>
          <w:rFonts w:ascii="楷体" w:eastAsia="楷体" w:hAnsi="楷体" w:cs="楷体" w:hint="eastAsia"/>
          <w:b/>
          <w:bCs/>
          <w:color w:val="000000"/>
          <w:sz w:val="32"/>
          <w:szCs w:val="32"/>
          <w:shd w:val="clear" w:color="auto" w:fill="FFFFFF"/>
        </w:rPr>
        <w:t>《关于落实各族青少年交流计划的实施</w:t>
      </w:r>
      <w:r>
        <w:rPr>
          <w:rFonts w:ascii="楷体" w:eastAsia="楷体" w:hAnsi="楷体" w:cs="楷体" w:hint="eastAsia"/>
          <w:b/>
          <w:bCs/>
          <w:color w:val="000000"/>
          <w:sz w:val="32"/>
          <w:szCs w:val="32"/>
          <w:shd w:val="clear" w:color="auto" w:fill="FFFFFF"/>
          <w:lang w:eastAsia="zh-CN"/>
        </w:rPr>
        <w:t>方案</w:t>
      </w:r>
      <w:r>
        <w:rPr>
          <w:rFonts w:ascii="楷体" w:eastAsia="楷体" w:hAnsi="楷体" w:cs="楷体" w:hint="eastAsia"/>
          <w:b/>
          <w:bCs/>
          <w:color w:val="000000"/>
          <w:sz w:val="32"/>
          <w:szCs w:val="32"/>
          <w:shd w:val="clear" w:color="auto" w:fill="FFFFFF"/>
        </w:rPr>
        <w:t>》</w:t>
      </w:r>
      <w:r>
        <w:rPr>
          <w:rFonts w:ascii="楷体" w:eastAsia="楷体" w:hAnsi="楷体" w:cs="楷体"/>
          <w:b/>
          <w:bCs/>
          <w:color w:val="000000"/>
          <w:sz w:val="32"/>
          <w:szCs w:val="32"/>
          <w:shd w:val="clear" w:color="auto" w:fill="FFFFFF"/>
        </w:rPr>
        <w:t>。</w:t>
      </w:r>
      <w:r>
        <w:rPr>
          <w:rFonts w:ascii="仿宋_GB2312" w:eastAsia="仿宋_GB2312"/>
          <w:color w:val="000000"/>
          <w:sz w:val="32"/>
          <w:szCs w:val="32"/>
          <w:shd w:val="clear" w:color="auto" w:fill="FFFFFF"/>
        </w:rPr>
        <w:t>支持</w:t>
      </w:r>
      <w:r>
        <w:rPr>
          <w:rFonts w:ascii="仿宋_GB2312" w:eastAsia="仿宋_GB2312" w:hint="eastAsia"/>
          <w:color w:val="000000"/>
          <w:sz w:val="32"/>
          <w:szCs w:val="32"/>
          <w:shd w:val="clear" w:color="auto" w:fill="FFFFFF"/>
        </w:rPr>
        <w:t>各族青少年通过开展“石榴籽一家亲”、“小手拉大手”、“传承红色基因研学”等活动，</w:t>
      </w:r>
      <w:r>
        <w:rPr>
          <w:rFonts w:ascii="仿宋_GB2312" w:eastAsia="仿宋_GB2312" w:cs="仿宋_GB2312" w:hint="eastAsia"/>
          <w:sz w:val="32"/>
          <w:szCs w:val="32"/>
          <w:lang w:bidi="ar-SA"/>
        </w:rPr>
        <w:t>带动东部和西部</w:t>
      </w:r>
      <w:r>
        <w:rPr>
          <w:rFonts w:ascii="仿宋_GB2312" w:eastAsia="仿宋_GB2312" w:cs="仿宋_GB2312"/>
          <w:sz w:val="32"/>
          <w:szCs w:val="32"/>
          <w:lang w:bidi="ar-SA"/>
        </w:rPr>
        <w:t>、</w:t>
      </w:r>
      <w:r>
        <w:rPr>
          <w:rFonts w:ascii="仿宋_GB2312" w:eastAsia="仿宋_GB2312" w:cs="仿宋_GB2312" w:hint="eastAsia"/>
          <w:sz w:val="32"/>
          <w:szCs w:val="32"/>
          <w:lang w:bidi="ar-SA"/>
        </w:rPr>
        <w:t>城市和乡村之间的交流互动</w:t>
      </w:r>
      <w:r>
        <w:rPr>
          <w:rFonts w:ascii="仿宋_GB2312" w:eastAsia="仿宋_GB2312" w:cs="仿宋_GB2312"/>
          <w:sz w:val="32"/>
          <w:szCs w:val="32"/>
          <w:lang w:bidi="ar-SA"/>
        </w:rPr>
        <w:t>，</w:t>
      </w:r>
      <w:r>
        <w:rPr>
          <w:rFonts w:ascii="仿宋_GB2312" w:eastAsia="仿宋_GB2312" w:hAnsi="仿宋_GB2312" w:cs="仿宋_GB2312" w:hint="eastAsia"/>
          <w:sz w:val="32"/>
          <w:szCs w:val="32"/>
        </w:rPr>
        <w:t>带动家庭、父母、学校、老师之间</w:t>
      </w:r>
      <w:r>
        <w:rPr>
          <w:rFonts w:ascii="仿宋_GB2312" w:eastAsia="仿宋_GB2312" w:hAnsi="仿宋_GB2312" w:cs="仿宋_GB2312"/>
          <w:sz w:val="32"/>
          <w:szCs w:val="32"/>
        </w:rPr>
        <w:t>的交流</w:t>
      </w:r>
      <w:r>
        <w:rPr>
          <w:rFonts w:ascii="仿宋_GB2312" w:eastAsia="仿宋_GB2312" w:hAnsi="仿宋_GB2312" w:cs="仿宋_GB2312" w:hint="eastAsia"/>
          <w:sz w:val="32"/>
          <w:szCs w:val="32"/>
        </w:rPr>
        <w:t>，进一步增强全社会交往交流交融。</w:t>
      </w:r>
    </w:p>
    <w:p>
      <w:pPr>
        <w:pageBreakBefore w:val="0"/>
        <w:widowControl w:val="0"/>
        <w:kinsoku/>
        <w:wordWrap/>
        <w:overflowPunct/>
        <w:topLinePunct w:val="0"/>
        <w:autoSpaceDE/>
        <w:autoSpaceDN/>
        <w:adjustRightInd/>
        <w:snapToGrid/>
        <w:spacing w:line="560" w:lineRule="exact"/>
        <w:ind w:firstLine="640" w:firstLineChars="20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lang w:eastAsia="zh-CN"/>
        </w:rPr>
        <w:t>二、搭建服务平台，拓宽发展格局</w:t>
      </w:r>
    </w:p>
    <w:p>
      <w:pPr>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hAnsi="CESI仿宋-GB2312" w:cs="仿宋_GB2312" w:hint="eastAsia"/>
          <w:bCs/>
          <w:sz w:val="32"/>
          <w:szCs w:val="32"/>
        </w:rPr>
      </w:pPr>
      <w:r>
        <w:rPr>
          <w:rFonts w:ascii="楷体" w:eastAsia="楷体" w:hAnsi="楷体" w:cs="楷体" w:hint="eastAsia"/>
          <w:b/>
          <w:bCs/>
          <w:color w:val="000000"/>
          <w:sz w:val="32"/>
          <w:szCs w:val="32"/>
        </w:rPr>
        <w:t>提供优质服务。</w:t>
      </w:r>
      <w:r>
        <w:rPr>
          <w:rFonts w:ascii="仿宋_GB2312" w:eastAsia="仿宋_GB2312" w:hAnsi="CESI仿宋-GB2312" w:cs="仿宋_GB2312" w:hint="eastAsia"/>
          <w:bCs/>
          <w:sz w:val="32"/>
          <w:szCs w:val="32"/>
        </w:rPr>
        <w:t>贯彻落实《城市民族工作管理条例》，</w:t>
      </w:r>
      <w:r>
        <w:rPr>
          <w:rFonts w:ascii="仿宋_GB2312" w:eastAsia="仿宋_GB2312" w:cs="仿宋_GB2312" w:hint="eastAsia"/>
          <w:sz w:val="32"/>
          <w:szCs w:val="32"/>
          <w:lang w:val="en-US" w:eastAsia="zh-CN" w:bidi="ar-SA"/>
        </w:rPr>
        <w:t>完善流出地和流入地“两头对接”机制，协调相关部门共享流动人口信息，</w:t>
      </w:r>
      <w:r>
        <w:rPr>
          <w:rFonts w:ascii="仿宋_GB2312" w:eastAsia="仿宋_GB2312" w:hAnsi="CESI仿宋-GB2312" w:cs="仿宋_GB2312" w:hint="eastAsia"/>
          <w:bCs/>
          <w:sz w:val="32"/>
          <w:szCs w:val="32"/>
        </w:rPr>
        <w:t>为各民族流动人口提供优质服务。</w:t>
      </w:r>
      <w:r>
        <w:rPr>
          <w:rFonts w:ascii="仿宋_GB2312" w:eastAsia="仿宋_GB2312" w:hAnsi="CESI仿宋-GB2312" w:cs="仿宋_GB2312" w:hint="eastAsia"/>
          <w:bCs/>
          <w:sz w:val="32"/>
          <w:szCs w:val="32"/>
          <w:lang w:val="en-US" w:eastAsia="zh-CN"/>
        </w:rPr>
        <w:t>2023</w:t>
      </w:r>
      <w:r>
        <w:rPr>
          <w:rFonts w:ascii="仿宋_GB2312" w:eastAsia="仿宋_GB2312" w:hAnsi="CESI仿宋-GB2312" w:cs="仿宋_GB2312" w:hint="eastAsia"/>
          <w:bCs/>
          <w:sz w:val="32"/>
          <w:szCs w:val="32"/>
        </w:rPr>
        <w:t>年为在丰宁经营清真烧烤摊点的2名</w:t>
      </w:r>
      <w:r>
        <w:rPr>
          <w:rFonts w:ascii="仿宋_GB2312" w:eastAsia="仿宋_GB2312" w:hAnsi="CESI仿宋-GB2312" w:cs="仿宋_GB2312" w:hint="eastAsia"/>
          <w:bCs/>
          <w:sz w:val="32"/>
          <w:szCs w:val="32"/>
        </w:rPr>
        <w:t>维吾尔族</w:t>
      </w:r>
      <w:r>
        <w:rPr>
          <w:rFonts w:ascii="仿宋_GB2312" w:eastAsia="仿宋_GB2312" w:hAnsi="CESI仿宋-GB2312" w:cs="仿宋_GB2312" w:hint="eastAsia"/>
          <w:bCs/>
          <w:sz w:val="32"/>
          <w:szCs w:val="32"/>
        </w:rPr>
        <w:t>儿童解决</w:t>
      </w:r>
      <w:r>
        <w:rPr>
          <w:rFonts w:ascii="仿宋_GB2312" w:eastAsia="仿宋_GB2312" w:hAnsi="CESI仿宋-GB2312" w:cs="仿宋_GB2312" w:hint="eastAsia"/>
          <w:bCs/>
          <w:sz w:val="32"/>
          <w:szCs w:val="32"/>
          <w:lang w:eastAsia="zh-CN"/>
        </w:rPr>
        <w:t>了</w:t>
      </w:r>
      <w:r>
        <w:rPr>
          <w:rFonts w:ascii="仿宋_GB2312" w:eastAsia="仿宋_GB2312" w:hAnsi="CESI仿宋-GB2312" w:cs="仿宋_GB2312" w:hint="eastAsia"/>
          <w:bCs/>
          <w:sz w:val="32"/>
          <w:szCs w:val="32"/>
        </w:rPr>
        <w:t>入学问题。</w:t>
      </w:r>
    </w:p>
    <w:p>
      <w:pPr>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hAnsi="仿宋_GB2312" w:cs="仿宋_GB2312"/>
          <w:b w:val="0"/>
          <w:sz w:val="32"/>
          <w:szCs w:val="32"/>
          <w:lang w:eastAsia="zh-CN"/>
        </w:rPr>
      </w:pPr>
      <w:r>
        <w:rPr>
          <w:rFonts w:ascii="楷体" w:eastAsia="楷体" w:hAnsi="楷体" w:cs="楷体" w:hint="eastAsia"/>
          <w:b/>
          <w:bCs/>
          <w:color w:val="000000"/>
          <w:sz w:val="32"/>
          <w:szCs w:val="32"/>
          <w:shd w:val="clear" w:color="auto" w:fill="FFFFFF"/>
          <w:lang w:eastAsia="zh-CN"/>
        </w:rPr>
        <w:t>完善导游词。</w:t>
      </w:r>
      <w:r>
        <w:rPr>
          <w:rFonts w:ascii="仿宋_GB2312" w:eastAsia="仿宋_GB2312" w:hAnsi="仿宋_GB2312" w:cs="仿宋_GB2312" w:hint="eastAsia"/>
          <w:b w:val="0"/>
          <w:sz w:val="32"/>
          <w:szCs w:val="32"/>
        </w:rPr>
        <w:t>挖掘丰宁境内五千年红山文化、三千年山戎文化和现代的大滩镇马文化凝结着各民族交往交流交融的历史记忆</w:t>
      </w:r>
      <w:r>
        <w:rPr>
          <w:rFonts w:ascii="仿宋_GB2312" w:eastAsia="仿宋_GB2312" w:hAnsi="仿宋_GB2312" w:cs="仿宋_GB2312" w:hint="eastAsia"/>
          <w:b w:val="0"/>
          <w:sz w:val="32"/>
          <w:szCs w:val="32"/>
          <w:lang w:eastAsia="zh-CN"/>
        </w:rPr>
        <w:t>，对全县</w:t>
      </w:r>
      <w:r>
        <w:rPr>
          <w:rFonts w:ascii="仿宋_GB2312" w:eastAsia="仿宋_GB2312" w:hAnsi="仿宋_GB2312" w:cs="仿宋_GB2312" w:hint="eastAsia"/>
          <w:b w:val="0"/>
          <w:sz w:val="32"/>
          <w:szCs w:val="32"/>
          <w:lang w:val="en-US" w:eastAsia="zh-CN"/>
        </w:rPr>
        <w:t>11家</w:t>
      </w:r>
      <w:r>
        <w:rPr>
          <w:rFonts w:ascii="仿宋_GB2312" w:eastAsia="仿宋_GB2312" w:hAnsi="仿宋_GB2312" w:cs="仿宋_GB2312" w:hint="eastAsia"/>
          <w:b w:val="0"/>
          <w:sz w:val="32"/>
          <w:szCs w:val="32"/>
          <w:lang w:eastAsia="zh-CN"/>
        </w:rPr>
        <w:t>重点景区导游词从铸牢中华</w:t>
      </w:r>
      <w:r>
        <w:rPr>
          <w:rFonts w:ascii="仿宋_GB2312" w:eastAsia="仿宋_GB2312" w:hint="eastAsia"/>
          <w:color w:val="000000"/>
          <w:sz w:val="32"/>
          <w:szCs w:val="32"/>
          <w:shd w:val="clear" w:color="auto" w:fill="FFFFFF"/>
          <w:lang w:eastAsia="zh-CN"/>
        </w:rPr>
        <w:t>民族共同体意识角度进行规范完善，加</w:t>
      </w:r>
      <w:r>
        <w:rPr>
          <w:rFonts w:ascii="仿宋_GB2312" w:eastAsia="仿宋_GB2312" w:hAnsi="仿宋_GB2312" w:cs="仿宋_GB2312" w:hint="eastAsia"/>
          <w:b w:val="0"/>
          <w:sz w:val="32"/>
          <w:szCs w:val="32"/>
          <w:lang w:eastAsia="zh-CN"/>
        </w:rPr>
        <w:t>入</w:t>
      </w:r>
      <w:r>
        <w:rPr>
          <w:rFonts w:ascii="仿宋_GB2312" w:eastAsia="仿宋_GB2312" w:hAnsi="仿宋_GB2312" w:cs="仿宋_GB2312" w:hint="eastAsia"/>
          <w:b w:val="0"/>
          <w:sz w:val="32"/>
          <w:szCs w:val="32"/>
        </w:rPr>
        <w:t>各民族交往交流交融的历史事实</w:t>
      </w:r>
      <w:r>
        <w:rPr>
          <w:rFonts w:ascii="仿宋_GB2312" w:eastAsia="仿宋_GB2312" w:hAnsi="仿宋_GB2312" w:cs="仿宋_GB2312" w:hint="eastAsia"/>
          <w:b w:val="0"/>
          <w:sz w:val="32"/>
          <w:szCs w:val="32"/>
          <w:lang w:eastAsia="zh-CN"/>
        </w:rPr>
        <w:t>和传说故事。</w:t>
      </w:r>
    </w:p>
    <w:p>
      <w:pPr>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olor w:val="000000"/>
          <w:sz w:val="32"/>
          <w:szCs w:val="32"/>
          <w:shd w:val="clear" w:color="auto" w:fill="FFFFFF"/>
          <w:lang w:eastAsia="zh-CN"/>
        </w:rPr>
      </w:pPr>
      <w:r>
        <w:rPr>
          <w:rFonts w:ascii="楷体" w:eastAsia="楷体" w:hAnsi="楷体" w:cs="楷体" w:hint="eastAsia"/>
          <w:b/>
          <w:bCs/>
          <w:color w:val="000000"/>
          <w:sz w:val="32"/>
          <w:szCs w:val="32"/>
          <w:shd w:val="clear" w:color="auto" w:fill="FFFFFF"/>
          <w:lang w:eastAsia="zh-CN"/>
        </w:rPr>
        <w:t>打造旅游线路</w:t>
      </w:r>
      <w:r>
        <w:rPr>
          <w:rFonts w:ascii="楷体" w:eastAsia="楷体" w:hAnsi="楷体" w:cs="楷体" w:hint="eastAsia"/>
          <w:color w:val="000000"/>
          <w:sz w:val="32"/>
          <w:szCs w:val="32"/>
          <w:shd w:val="clear" w:color="auto" w:fill="FFFFFF"/>
          <w:lang w:eastAsia="zh-CN"/>
        </w:rPr>
        <w:t>。</w:t>
      </w:r>
      <w:r>
        <w:rPr>
          <w:rFonts w:ascii="仿宋_GB2312" w:eastAsia="仿宋_GB2312" w:hint="eastAsia"/>
          <w:color w:val="000000"/>
          <w:sz w:val="32"/>
          <w:szCs w:val="32"/>
          <w:shd w:val="clear" w:color="auto" w:fill="FFFFFF"/>
          <w:lang w:eastAsia="zh-CN"/>
        </w:rPr>
        <w:t>依托草原马文化，拓展乡村旅游休闲空间，以少数民族特色村寨+文旅产业融合发展示范点及国家、省旅游重点村、民族团结进步示范村、铸牢中华民族共同体意识实践基地为主，周边生态游为辅，打造大滩小北沟村休闲游、云雾山生态游、非遗体验游等一批旅游新线路。</w:t>
      </w:r>
    </w:p>
    <w:p>
      <w:pPr>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hAnsi="仿宋_GB2312" w:cs="仿宋_GB2312"/>
          <w:sz w:val="32"/>
          <w:szCs w:val="32"/>
          <w:lang w:val="en-US" w:eastAsia="zh-CN"/>
        </w:rPr>
      </w:pPr>
      <w:r>
        <w:rPr>
          <w:rFonts w:ascii="楷体" w:eastAsia="楷体" w:hAnsi="楷体" w:cs="楷体" w:hint="eastAsia"/>
          <w:b/>
          <w:bCs/>
          <w:color w:val="000000"/>
          <w:sz w:val="32"/>
          <w:szCs w:val="32"/>
          <w:shd w:val="clear" w:color="auto" w:fill="FFFFFF"/>
          <w:lang w:eastAsia="zh-CN"/>
        </w:rPr>
        <w:t>赋予民贸企业“三个意义”。</w:t>
      </w:r>
      <w:r>
        <w:rPr>
          <w:rFonts w:ascii="仿宋_GB2312" w:eastAsia="仿宋_GB2312" w:hAnsi="仿宋_GB2312" w:cs="仿宋_GB2312" w:hint="eastAsia"/>
          <w:sz w:val="32"/>
          <w:szCs w:val="32"/>
          <w:lang w:val="en-US" w:eastAsia="zh-CN"/>
        </w:rPr>
        <w:t>组织全县17家民贸企业负责人参加</w:t>
      </w:r>
      <w:r>
        <w:rPr>
          <w:rFonts w:ascii="仿宋_GB2312" w:eastAsia="仿宋_GB2312" w:hAnsi="仿宋_GB2312" w:cs="仿宋_GB2312"/>
          <w:sz w:val="32"/>
          <w:szCs w:val="32"/>
          <w:lang w:val="en-US" w:eastAsia="zh-CN"/>
        </w:rPr>
        <w:t>省、市、</w:t>
      </w:r>
      <w:r>
        <w:rPr>
          <w:rFonts w:ascii="仿宋_GB2312" w:eastAsia="仿宋_GB2312" w:hAnsi="仿宋_GB2312" w:cs="仿宋_GB2312" w:hint="eastAsia"/>
          <w:sz w:val="32"/>
          <w:szCs w:val="32"/>
          <w:lang w:val="en-US" w:eastAsia="zh-CN"/>
        </w:rPr>
        <w:t>县民族理论</w:t>
      </w:r>
      <w:r>
        <w:rPr>
          <w:rFonts w:ascii="仿宋_GB2312" w:eastAsia="仿宋_GB2312" w:hAnsi="仿宋_GB2312" w:cs="仿宋_GB2312"/>
          <w:sz w:val="32"/>
          <w:szCs w:val="32"/>
          <w:lang w:val="en-US" w:eastAsia="zh-CN"/>
        </w:rPr>
        <w:t>、铸牢中华民族共同体意识</w:t>
      </w:r>
      <w:r>
        <w:rPr>
          <w:rFonts w:ascii="仿宋_GB2312" w:eastAsia="仿宋_GB2312" w:hAnsi="仿宋_GB2312" w:cs="仿宋_GB2312" w:hint="eastAsia"/>
          <w:sz w:val="32"/>
          <w:szCs w:val="32"/>
          <w:lang w:val="en-US" w:eastAsia="zh-CN"/>
        </w:rPr>
        <w:t>专题</w:t>
      </w:r>
      <w:r>
        <w:rPr>
          <w:rFonts w:ascii="仿宋_GB2312" w:eastAsia="仿宋_GB2312" w:hAnsi="仿宋_GB2312" w:cs="仿宋_GB2312"/>
          <w:sz w:val="32"/>
          <w:szCs w:val="32"/>
          <w:lang w:val="en-US" w:eastAsia="zh-CN"/>
        </w:rPr>
        <w:t>培训，引导企业增强民族认同感和归属感，通过改善民生增强各族人民的获得感和幸福感</w:t>
      </w:r>
      <w:r>
        <w:rPr>
          <w:rFonts w:ascii="仿宋_GB2312" w:eastAsia="仿宋_GB2312" w:hAnsi="仿宋_GB2312" w:cs="仿宋_GB2312" w:hint="eastAsia"/>
          <w:sz w:val="32"/>
          <w:szCs w:val="32"/>
          <w:lang w:val="en-US" w:eastAsia="zh-CN"/>
        </w:rPr>
        <w:t>。</w:t>
      </w:r>
    </w:p>
    <w:p>
      <w:pPr>
        <w:pageBreakBefore w:val="0"/>
        <w:widowControl w:val="0"/>
        <w:kinsoku/>
        <w:wordWrap/>
        <w:overflowPunct/>
        <w:topLinePunct w:val="0"/>
        <w:autoSpaceDE/>
        <w:autoSpaceDN/>
        <w:adjustRightInd/>
        <w:snapToGrid/>
        <w:spacing w:line="560" w:lineRule="exact"/>
        <w:ind w:firstLine="640" w:firstLineChars="200"/>
        <w:rPr>
          <w:rFonts w:ascii="黑体" w:eastAsia="黑体" w:hAnsi="黑体" w:cs="黑体"/>
          <w:color w:val="000000"/>
          <w:sz w:val="32"/>
          <w:szCs w:val="32"/>
          <w:shd w:val="clear" w:color="auto" w:fill="FFFFFF"/>
          <w:lang w:eastAsia="zh-CN"/>
        </w:rPr>
      </w:pPr>
      <w:r>
        <w:rPr>
          <w:rFonts w:ascii="黑体" w:eastAsia="黑体" w:hAnsi="黑体" w:cs="黑体" w:hint="eastAsia"/>
          <w:color w:val="000000"/>
          <w:sz w:val="32"/>
          <w:szCs w:val="32"/>
          <w:shd w:val="clear" w:color="auto" w:fill="FFFFFF"/>
          <w:lang w:eastAsia="zh-CN"/>
        </w:rPr>
        <w:t>三、开展主题活动，促进发展交融</w:t>
      </w:r>
    </w:p>
    <w:p>
      <w:pPr>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cs="仿宋_GB2312"/>
          <w:color w:val="000000"/>
          <w:sz w:val="32"/>
          <w:szCs w:val="32"/>
        </w:rPr>
      </w:pPr>
      <w:r>
        <w:rPr>
          <w:rFonts w:ascii="仿宋_GB2312" w:eastAsia="仿宋_GB2312" w:cs="仿宋_GB2312" w:hint="eastAsia"/>
          <w:b/>
          <w:bCs/>
          <w:color w:val="000000"/>
          <w:sz w:val="32"/>
          <w:szCs w:val="32"/>
          <w:shd w:val="clear" w:color="auto" w:fill="FFFFFF"/>
        </w:rPr>
        <w:t>社区活动。</w:t>
      </w:r>
      <w:r>
        <w:rPr>
          <w:rFonts w:ascii="仿宋_GB2312" w:eastAsia="仿宋_GB2312" w:cs="仿宋_GB2312" w:hint="eastAsia"/>
          <w:color w:val="000000"/>
          <w:sz w:val="32"/>
          <w:szCs w:val="32"/>
        </w:rPr>
        <w:t>以街道和社区为平台，举办文艺演出、包粽子、义诊、登山、健步走等各类活动，营造各民族共居共学、共建共享、共事共乐的和谐社会环境。</w:t>
      </w:r>
    </w:p>
    <w:p>
      <w:pPr>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hAnsi="仿宋" w:cs="仿宋_GB2312"/>
          <w:sz w:val="32"/>
          <w:szCs w:val="32"/>
        </w:rPr>
      </w:pPr>
      <w:r>
        <w:rPr>
          <w:rFonts w:ascii="楷体" w:eastAsia="楷体" w:hAnsi="楷体" w:cs="楷体" w:hint="eastAsia"/>
          <w:b/>
          <w:bCs/>
          <w:color w:val="000000"/>
          <w:sz w:val="32"/>
          <w:szCs w:val="32"/>
          <w:shd w:val="clear" w:color="auto" w:fill="FFFFFF"/>
          <w:lang w:eastAsia="zh-CN"/>
        </w:rPr>
        <w:t>娱乐活动。</w:t>
      </w:r>
      <w:r>
        <w:rPr>
          <w:rFonts w:ascii="仿宋_GB2312" w:eastAsia="仿宋_GB2312" w:cs="仿宋_GB2312" w:hint="eastAsia"/>
          <w:color w:val="000000"/>
          <w:sz w:val="32"/>
          <w:szCs w:val="32"/>
          <w:shd w:val="clear" w:color="auto" w:fill="FFFFFF"/>
          <w:lang w:eastAsia="zh-CN"/>
        </w:rPr>
        <w:t>在坝上旅游地区，以民族节庆、传统体育、传承马文化等为主题，举办音乐节、书画展、马拉松、赛马等活动，吸引全国各地各民族游客参加。重点以“中国马镇”为基地，</w:t>
      </w:r>
      <w:r>
        <w:rPr>
          <w:rFonts w:ascii="仿宋_GB2312" w:eastAsia="仿宋_GB2312" w:hAnsi="仿宋" w:cs="仿宋_GB2312" w:hint="eastAsia"/>
          <w:sz w:val="32"/>
          <w:szCs w:val="32"/>
        </w:rPr>
        <w:t>每年承办速度赛、障碍赛、耐力赛等现代马术赛事百余场，吸引全国各地马术旅游爱好者和骑马游客约240万人次。</w:t>
      </w:r>
    </w:p>
    <w:p>
      <w:pPr>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hAnsi="仿宋_GB2312" w:cs="仿宋_GB2312"/>
          <w:sz w:val="32"/>
          <w:szCs w:val="32"/>
        </w:rPr>
      </w:pPr>
      <w:r>
        <w:rPr>
          <w:rFonts w:ascii="楷体" w:eastAsia="楷体" w:hAnsi="楷体" w:cs="楷体" w:hint="eastAsia"/>
          <w:b/>
          <w:bCs/>
          <w:color w:val="000000"/>
          <w:sz w:val="32"/>
          <w:szCs w:val="32"/>
          <w:shd w:val="clear" w:color="auto" w:fill="FFFFFF"/>
        </w:rPr>
        <w:t>交流活动。</w:t>
      </w:r>
      <w:r>
        <w:rPr>
          <w:rFonts w:ascii="仿宋_GB2312" w:eastAsia="仿宋_GB2312" w:hAnsi="仿宋" w:cs="仿宋_GB2312" w:hint="eastAsia"/>
          <w:sz w:val="32"/>
          <w:szCs w:val="32"/>
        </w:rPr>
        <w:t>丰宁一小、六小优秀青少年代表与新疆尉犁县青少年开展“手拉手、结对子”交流活动，两地青少年互写书信，互录视频，互赠明信片和代表</w:t>
      </w:r>
      <w:r>
        <w:rPr>
          <w:rFonts w:ascii="仿宋_GB2312" w:eastAsia="仿宋_GB2312" w:hAnsi="仿宋" w:cs="仿宋_GB2312" w:hint="eastAsia"/>
          <w:sz w:val="32"/>
          <w:szCs w:val="32"/>
          <w:lang w:eastAsia="zh-CN"/>
        </w:rPr>
        <w:t>当地特色的礼物</w:t>
      </w:r>
      <w:r>
        <w:rPr>
          <w:rFonts w:ascii="仿宋_GB2312" w:eastAsia="仿宋_GB2312" w:hAnsi="仿宋" w:cs="仿宋_GB2312" w:hint="eastAsia"/>
          <w:sz w:val="32"/>
          <w:szCs w:val="32"/>
        </w:rPr>
        <w:t>。丰宁一小与尉犁一小举行了“冀疆学子云端会面，中华民族心手相连”线上交流活动，双</w:t>
      </w:r>
      <w:r>
        <w:rPr>
          <w:rFonts w:ascii="仿宋_GB2312" w:eastAsia="仿宋_GB2312" w:hAnsi="仿宋_GB2312" w:cs="仿宋_GB2312" w:hint="eastAsia"/>
          <w:sz w:val="32"/>
          <w:szCs w:val="32"/>
        </w:rPr>
        <w:t>方青少</w:t>
      </w:r>
      <w:r>
        <w:rPr>
          <w:rFonts w:ascii="仿宋_GB2312" w:eastAsia="仿宋_GB2312" w:hAnsi="仿宋" w:cs="仿宋_GB2312" w:hint="eastAsia"/>
          <w:sz w:val="32"/>
          <w:szCs w:val="32"/>
        </w:rPr>
        <w:t>年通过向对方介绍地方特色和美食、才艺展示，拉了距离、加深了解、增</w:t>
      </w:r>
      <w:r>
        <w:rPr>
          <w:rFonts w:ascii="仿宋_GB2312" w:eastAsia="仿宋_GB2312" w:hAnsi="仿宋_GB2312" w:cs="仿宋_GB2312" w:hint="eastAsia"/>
          <w:sz w:val="32"/>
          <w:szCs w:val="32"/>
        </w:rPr>
        <w:t>进认同。</w:t>
      </w:r>
    </w:p>
    <w:p>
      <w:pPr>
        <w:pageBreakBefore w:val="0"/>
        <w:widowControl w:val="0"/>
        <w:kinsoku/>
        <w:wordWrap/>
        <w:overflowPunct/>
        <w:topLinePunct w:val="0"/>
        <w:autoSpaceDE/>
        <w:autoSpaceDN/>
        <w:adjustRightInd/>
        <w:snapToGrid/>
        <w:spacing w:line="560" w:lineRule="exact"/>
        <w:ind w:firstLine="640" w:firstLineChars="200"/>
        <w:rPr>
          <w:rFonts w:ascii="仿宋_GB2312" w:eastAsia="仿宋_GB2312" w:hAnsi="仿宋_GB2312" w:cs="仿宋_GB2312"/>
          <w:color w:val="000000"/>
          <w:sz w:val="32"/>
          <w:szCs w:val="32"/>
          <w:shd w:val="clear" w:color="auto" w:fill="FFFFFF"/>
          <w:lang w:eastAsia="zh-CN"/>
        </w:rPr>
      </w:pPr>
      <w:r>
        <w:rPr>
          <w:rFonts w:ascii="楷体" w:eastAsia="楷体" w:hAnsi="楷体" w:cs="楷体" w:hint="eastAsia"/>
          <w:b/>
          <w:bCs/>
          <w:color w:val="000000"/>
          <w:sz w:val="32"/>
          <w:szCs w:val="32"/>
          <w:shd w:val="clear" w:color="auto" w:fill="FFFFFF"/>
          <w:lang w:eastAsia="zh-CN"/>
        </w:rPr>
        <w:t>研学活动。</w:t>
      </w:r>
      <w:r>
        <w:rPr>
          <w:rFonts w:ascii="仿宋_GB2312" w:eastAsia="仿宋_GB2312" w:hAnsi="仿宋_GB2312" w:cs="仿宋_GB2312" w:hint="eastAsia"/>
          <w:sz w:val="32"/>
          <w:szCs w:val="32"/>
        </w:rPr>
        <w:t>承德市双桥区的十所小学三千余名学生</w:t>
      </w:r>
      <w:r>
        <w:rPr>
          <w:rFonts w:ascii="仿宋_GB2312" w:eastAsia="仿宋_GB2312" w:hAnsi="仿宋_GB2312" w:cs="仿宋_GB2312" w:hint="eastAsia"/>
          <w:sz w:val="32"/>
          <w:szCs w:val="32"/>
          <w:lang w:eastAsia="zh-CN"/>
        </w:rPr>
        <w:t>赴丰宁非遗传承基地开展</w:t>
      </w:r>
      <w:r>
        <w:rPr>
          <w:rFonts w:ascii="仿宋_GB2312" w:eastAsia="仿宋_GB2312" w:hAnsi="仿宋_GB2312" w:cs="仿宋_GB2312" w:hint="eastAsia"/>
          <w:sz w:val="32"/>
          <w:szCs w:val="32"/>
        </w:rPr>
        <w:t>研学活动</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color w:val="000000"/>
          <w:sz w:val="32"/>
          <w:szCs w:val="32"/>
          <w:shd w:val="clear" w:color="auto" w:fill="FFFFFF"/>
        </w:rPr>
        <w:t>弘扬传统文化 传承非遗技艺。</w:t>
      </w:r>
      <w:r>
        <w:rPr>
          <w:rFonts w:ascii="仿宋_GB2312" w:eastAsia="仿宋_GB2312" w:hAnsi="仿宋_GB2312" w:cs="仿宋_GB2312" w:hint="eastAsia"/>
          <w:color w:val="000000"/>
          <w:sz w:val="32"/>
          <w:szCs w:val="32"/>
          <w:shd w:val="clear" w:color="auto" w:fill="FFFFFF"/>
          <w:lang w:eastAsia="zh-CN"/>
        </w:rPr>
        <w:t>丰宁各小学赴红色爱国主义教育基地、郭小川故居、满族民俗馆等地研学，传承红色基因和革命精神。</w:t>
      </w:r>
    </w:p>
    <w:p>
      <w:pPr>
        <w:pageBreakBefore w:val="0"/>
        <w:widowControl w:val="0"/>
        <w:kinsoku/>
        <w:wordWrap/>
        <w:overflowPunct/>
        <w:topLinePunct w:val="0"/>
        <w:autoSpaceDE/>
        <w:autoSpaceDN/>
        <w:adjustRightInd/>
        <w:snapToGrid/>
        <w:spacing w:line="560" w:lineRule="exact"/>
        <w:ind w:firstLine="640" w:firstLineChars="200"/>
        <w:rPr>
          <w:rFonts w:hint="eastAsia"/>
        </w:rPr>
      </w:pPr>
      <w:r>
        <w:rPr>
          <w:rFonts w:ascii="楷体" w:eastAsia="楷体" w:hAnsi="楷体" w:cs="楷体" w:hint="eastAsia"/>
          <w:b/>
          <w:bCs/>
          <w:color w:val="000000"/>
          <w:sz w:val="32"/>
          <w:szCs w:val="32"/>
        </w:rPr>
        <w:t>非遗传承活动。</w:t>
      </w:r>
      <w:r>
        <w:rPr>
          <w:rFonts w:ascii="仿宋_GB2312" w:eastAsia="仿宋_GB2312" w:hAnsi="仿宋_GB2312" w:cs="仿宋_GB2312" w:hint="eastAsia"/>
          <w:spacing w:val="8"/>
          <w:kern w:val="36"/>
          <w:sz w:val="32"/>
          <w:szCs w:val="32"/>
        </w:rPr>
        <w:t>举办“非遗”走进新华书店、走进民宿、走进乡村活动，通过培训班、作品展示等方式</w:t>
      </w:r>
      <w:r>
        <w:rPr>
          <w:rFonts w:ascii="仿宋_GB2312" w:eastAsia="仿宋_GB2312" w:hAnsi="仿宋_GB2312" w:cs="仿宋_GB2312" w:hint="eastAsia"/>
          <w:sz w:val="32"/>
          <w:szCs w:val="32"/>
        </w:rPr>
        <w:t>传承中华优秀传统文化。在</w:t>
      </w:r>
      <w:r>
        <w:rPr>
          <w:rFonts w:ascii="仿宋_GB2312" w:eastAsia="仿宋_GB2312" w:cs="仿宋_GB2312" w:hint="eastAsia"/>
          <w:sz w:val="32"/>
          <w:szCs w:val="32"/>
        </w:rPr>
        <w:t>中国非物质文化遗产馆举办“丰宁展演周”、参加怀柔文化旅游节，以</w:t>
      </w:r>
      <w:r>
        <w:rPr>
          <w:rFonts w:ascii="仿宋_GB2312" w:eastAsia="仿宋_GB2312" w:hAnsi="仿宋_GB2312" w:cs="仿宋_GB2312" w:hint="eastAsia"/>
          <w:spacing w:val="8"/>
          <w:kern w:val="36"/>
          <w:sz w:val="32"/>
          <w:szCs w:val="32"/>
        </w:rPr>
        <w:t>“非遗”为媒，促进各民族的</w:t>
      </w:r>
      <w:r>
        <w:rPr>
          <w:rFonts w:ascii="仿宋_GB2312" w:eastAsia="仿宋_GB2312" w:cs="仿宋_GB2312" w:hint="eastAsia"/>
          <w:sz w:val="32"/>
          <w:szCs w:val="32"/>
          <w:lang w:bidi="ar-SA"/>
        </w:rPr>
        <w:t>互嵌式发展。提档升级</w:t>
      </w:r>
    </w:p>
    <w:sectPr>
      <w:footerReference w:type="default" r:id="rId5"/>
      <w:pgSz w:w="11906" w:h="16838"/>
      <w:pgMar w:top="1701" w:right="1587" w:bottom="1701" w:left="158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86"/>
    <w:family w:val="modern"/>
    <w:pitch w:val="variable"/>
    <w:sig w:usb0="E0002AFF" w:usb1="C0007841" w:usb2="00000009" w:usb3="00000000" w:csb0="400001FF" w:csb1="FFFF0000"/>
  </w:font>
  <w:font w:name="楷体">
    <w:panose1 w:val="02010609060101010101"/>
    <w:charset w:val="86"/>
    <w:family w:val="auto"/>
    <w:pitch w:val="variable"/>
    <w:sig w:usb0="800002BF" w:usb1="38CF7CFA" w:usb2="00000016" w:usb3="00000000" w:csb0="00040001" w:csb1="00000000"/>
  </w:font>
  <w:font w:name="CESI仿宋-GB2312">
    <w:altName w:val="宋体"/>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宋体">
    <w:panose1 w:val="02010600030101010101"/>
    <w:charset w:val="7A"/>
    <w:family w:val="auto"/>
    <w:pitch w:val="variable"/>
    <w:sig w:usb0="00000003" w:usb1="288F0000" w:usb2="0000000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 w:name="方正小标宋_GBK">
    <w:altName w:val="微软雅黑"/>
    <w:panose1 w:val="02000000000000000000"/>
    <w:charset w:val="86"/>
    <w:family w:val="script"/>
    <w:pitch w:val="variable"/>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center" w:pos="4153"/>
        <w:tab w:val="right" w:pos="8306"/>
      </w:tabs>
    </w:pPr>
    <w:r>
      <w:rPr>
        <w:sz w:val="18"/>
      </w:rPr>
      <mc:AlternateContent>
        <mc:Choice Requires="wps">
          <w:drawing>
            <wp:anchor distT="0" distB="0" distL="114298" distR="114298" simplePos="0" relativeHeight="251658240" behindDoc="0" locked="0" layoutInCell="1" allowOverlap="1">
              <wp:simplePos x="0" y="0"/>
              <wp:positionH relativeFrom="margin">
                <wp:align>outside</wp:align>
              </wp:positionH>
              <wp:positionV relativeFrom="paragraph">
                <wp:posOffset>0</wp:posOffset>
              </wp:positionV>
              <wp:extent cx="505510" cy="186080"/>
              <wp:effectExtent l="0" t="0" r="0" b="0"/>
              <wp:wrapNone/>
              <wp:docPr id="1" name="文本框 3"/>
              <wp:cNvGraphicFramePr>
                <a:graphicFrameLocks xmlns:a="http://schemas.openxmlformats.org/drawingml/2006/main" noChangeAspect="0"/>
              </wp:cNvGraphicFramePr>
              <a:graphic xmlns:a="http://schemas.openxmlformats.org/drawingml/2006/main">
                <a:graphicData uri="http://schemas.microsoft.com/office/word/2010/wordprocessingShape">
                  <wps:wsp xmlns:wps="http://schemas.microsoft.com/office/word/2010/wordprocessingShape">
                    <wps:cNvSpPr/>
                    <wps:spPr>
                      <a:xfrm>
                        <a:off x="0" y="0"/>
                        <a:ext cx="505510" cy="186080"/>
                      </a:xfrm>
                      <a:prstGeom prst="rect">
                        <a:avLst/>
                      </a:prstGeom>
                      <a:noFill/>
                      <a:ln w="6350">
                        <a:noFill/>
                        <a:round/>
                      </a:ln>
                    </wps:spPr>
                    <wps:txbx id="2">
                      <w:txbxContent>
                        <w:p>
                          <w:pPr>
                            <w:pStyle w:val="Footer"/>
                            <w:tabs>
                              <w:tab w:val="center" w:pos="4153"/>
                              <w:tab w:val="right"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3" o:spid="_x0000_s2049" type="#_x0000_t202" style="width:39.8pt;height:14.65pt;margin-top:0;margin-left:0;mso-position-horizontal:outside;mso-position-horizontal-relative:margin;mso-wrap-distance-left:9pt;mso-wrap-distance-right:9pt;mso-wrap-style:none;position:absolute;z-index:251659264" filled="f" stroked="f" strokecolor="black" strokeweight="0.5pt">
              <v:textbox style="layout-flow:horizontal;mso-fit-shape-to-text:t" inset="0,0,0,0">
                <w:txbxContent>
                  <w:p>
                    <w:pPr>
                      <w:pStyle w:val="Footer"/>
                      <w:tabs>
                        <w:tab w:val="center" w:pos="4153"/>
                        <w:tab w:val="right"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420"/>
  <w:drawingGridHorizontalSpacing w:val="105"/>
  <w:drawingGridVerticalSpacing w:val="156"/>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docVars>
    <w:docVar w:name="commondata" w:val="eyJoZGlkIjoiNmI5NTE2OWY1ZWY5YjBmMDg4NDA3OTg2MWEwNmI2ODYifQ=="/>
  </w:docVar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pPr>
      <w:widowControl w:val="0"/>
      <w:jc w:val="both"/>
    </w:pPr>
    <w:rPr>
      <w:rFonts w:ascii="Calibri" w:eastAsia="宋体" w:hAnsi="Calibri" w:cs="Times New Roman"/>
      <w:kern w:val="2"/>
      <w:sz w:val="21"/>
      <w:szCs w:val="22"/>
      <w:lang w:val="en-US" w:eastAsia="zh-CN" w:bidi="ar-SA"/>
    </w:rPr>
  </w:style>
  <w:style w:type="paragraph" w:styleId="Heading1">
    <w:name w:val="heading 1"/>
    <w:basedOn w:val="Normal"/>
    <w:next w:val="Normal"/>
    <w:pPr>
      <w:keepNext/>
      <w:keepLines/>
      <w:widowControl w:val="0"/>
      <w:spacing w:before="340" w:after="330" w:line="578" w:lineRule="auto"/>
      <w:outlineLvl w:val="0"/>
    </w:pPr>
    <w:rPr>
      <w:b/>
      <w:bCs/>
      <w:kern w:val="44"/>
      <w:sz w:val="44"/>
      <w:szCs w:val="44"/>
    </w:rPr>
  </w:style>
  <w:style w:type="paragraph" w:styleId="Heading2">
    <w:name w:val="heading 2"/>
    <w:basedOn w:val="Normal"/>
    <w:next w:val="Normal"/>
    <w:pPr>
      <w:keepNext/>
      <w:keepLines/>
      <w:widowControl w:val="0"/>
      <w:spacing w:before="260" w:after="260" w:line="415" w:lineRule="auto"/>
      <w:outlineLvl w:val="1"/>
    </w:pPr>
    <w:rPr>
      <w:rFonts w:ascii="Times New Roman" w:eastAsia="黑体" w:hAnsi="Times New Roman"/>
      <w:b/>
      <w:bCs/>
      <w:sz w:val="32"/>
      <w:szCs w:val="32"/>
    </w:rPr>
  </w:style>
  <w:style w:type="paragraph" w:styleId="Heading3">
    <w:name w:val="heading 3"/>
    <w:basedOn w:val="Normal"/>
    <w:next w:val="Normal"/>
    <w:pPr>
      <w:keepNext/>
      <w:keepLines/>
      <w:widowControl w:val="0"/>
      <w:spacing w:before="260" w:after="260" w:line="415" w:lineRule="auto"/>
      <w:outlineLvl w:val="2"/>
    </w:pPr>
    <w:rPr>
      <w:b/>
      <w:bCs/>
      <w:sz w:val="32"/>
      <w:szCs w:val="32"/>
    </w:rPr>
  </w:style>
  <w:style w:type="character" w:default="1" w:styleId="DefaultParagraphFont">
    <w:name w:val="Default Paragraph Font"/>
  </w:style>
  <w:style w:type="paragraph" w:styleId="BodyText">
    <w:name w:val="Body Text"/>
    <w:basedOn w:val="Normal"/>
    <w:next w:val="Normal"/>
    <w:pPr>
      <w:spacing w:line="660" w:lineRule="exact"/>
      <w:jc w:val="center"/>
    </w:pPr>
    <w:rPr>
      <w:rFonts w:ascii="Times New Roman" w:eastAsia="方正小标宋_GBK" w:hAnsi="Times New Roman" w:cs="宋体"/>
      <w:sz w:val="44"/>
      <w:szCs w:val="32"/>
    </w:rPr>
  </w:style>
  <w:style w:type="paragraph" w:styleId="BodyTextIndent">
    <w:name w:val="Body Text Indent"/>
    <w:basedOn w:val="Normal"/>
    <w:pPr>
      <w:ind w:left="200" w:leftChars="200"/>
    </w:p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rPr>
      <w:sz w:val="24"/>
    </w:rPr>
  </w:style>
  <w:style w:type="paragraph" w:styleId="BodyTextFirstIndent2">
    <w:name w:val="Body Text First Indent 2"/>
    <w:basedOn w:val="BodyTextIndent"/>
    <w:pPr>
      <w:ind w:firstLine="200" w:firstLineChars="20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6692E74-7056-41D7-8446-E8FD6ED412BE}">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Normal.eit</Template>
  <TotalTime>602</TotalTime>
  <Pages>3</Pages>
  <Words>0</Words>
  <Characters>1187</Characters>
  <Application>Microsoft Office Word</Application>
  <DocSecurity>0</DocSecurity>
  <Lines>0</Lines>
  <Paragraphs>18</Paragraphs>
  <ScaleCrop>false</ScaleCrop>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cp:lastPrinted>2023-08-31T13:33:00Z</cp:lastPrinted>
  <dcterms:created xsi:type="dcterms:W3CDTF">2022-02-07T23:02:00Z</dcterms:created>
  <dcterms:modified xsi:type="dcterms:W3CDTF">2024-08-08T07:41:22Z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67F78BDFD78F4F8D9CEB22B6160BF198</vt:lpwstr>
  </property>
  <property fmtid="{D5CDD505-2E9C-101B-9397-08002B2CF9AE}" pid="3" name="KSOProductBuildVer">
    <vt:lpwstr>2052-11.8.2.12055</vt:lpwstr>
  </property>
</Properties>
</file>