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8E87" w14:textId="77777777" w:rsidR="001B5865" w:rsidRDefault="00BF4863">
      <w:pPr>
        <w:ind w:firstLineChars="200" w:firstLine="883"/>
        <w:jc w:val="center"/>
        <w:rPr>
          <w:rFonts w:ascii="黑体" w:eastAsia="黑体" w:hAnsi="黑体" w:cs="黑体"/>
          <w:b/>
          <w:sz w:val="44"/>
          <w:szCs w:val="44"/>
        </w:rPr>
      </w:pPr>
      <w:r>
        <w:rPr>
          <w:rFonts w:ascii="黑体" w:eastAsia="黑体" w:hAnsi="黑体" w:cs="黑体" w:hint="eastAsia"/>
          <w:b/>
          <w:sz w:val="44"/>
          <w:szCs w:val="44"/>
        </w:rPr>
        <w:t>丰宁县</w:t>
      </w:r>
      <w:r>
        <w:rPr>
          <w:rFonts w:ascii="黑体" w:eastAsia="黑体" w:hAnsi="黑体" w:cs="黑体" w:hint="eastAsia"/>
          <w:b/>
          <w:sz w:val="44"/>
          <w:szCs w:val="44"/>
        </w:rPr>
        <w:t>满族自治县粮食局</w:t>
      </w:r>
      <w:r>
        <w:rPr>
          <w:rFonts w:ascii="黑体" w:eastAsia="黑体" w:hAnsi="黑体" w:cs="黑体" w:hint="eastAsia"/>
          <w:b/>
          <w:sz w:val="44"/>
          <w:szCs w:val="44"/>
        </w:rPr>
        <w:t>2021</w:t>
      </w:r>
      <w:r>
        <w:rPr>
          <w:rFonts w:ascii="黑体" w:eastAsia="黑体" w:hAnsi="黑体" w:cs="黑体" w:hint="eastAsia"/>
          <w:b/>
          <w:sz w:val="44"/>
          <w:szCs w:val="44"/>
        </w:rPr>
        <w:t>年部门预算信息公开</w:t>
      </w:r>
    </w:p>
    <w:p w14:paraId="66FCDC8F" w14:textId="77777777" w:rsidR="001B5865" w:rsidRDefault="00BF4863">
      <w:pPr>
        <w:ind w:firstLineChars="200" w:firstLine="640"/>
        <w:rPr>
          <w:rFonts w:ascii="仿宋" w:eastAsia="仿宋" w:hAnsi="仿宋" w:cs="仿宋"/>
          <w:sz w:val="32"/>
          <w:szCs w:val="32"/>
        </w:rPr>
      </w:pPr>
      <w:r>
        <w:rPr>
          <w:rFonts w:ascii="仿宋" w:eastAsia="仿宋" w:hAnsi="仿宋" w:cs="仿宋" w:hint="eastAsia"/>
          <w:sz w:val="32"/>
          <w:szCs w:val="32"/>
        </w:rPr>
        <w:t>按照《中华人民共和国预算法》、《地方预决算公开操作规程》和《河北省省级预算公开办法》规定，现将丰宁</w:t>
      </w:r>
      <w:r>
        <w:rPr>
          <w:rFonts w:ascii="仿宋" w:eastAsia="仿宋" w:hAnsi="仿宋" w:cs="仿宋" w:hint="eastAsia"/>
          <w:sz w:val="32"/>
          <w:szCs w:val="32"/>
        </w:rPr>
        <w:t>满族自治县粮食</w:t>
      </w:r>
      <w:r>
        <w:rPr>
          <w:rFonts w:ascii="仿宋" w:eastAsia="仿宋" w:hAnsi="仿宋" w:cs="仿宋" w:hint="eastAsia"/>
          <w:sz w:val="32"/>
          <w:szCs w:val="32"/>
        </w:rPr>
        <w:t>局</w:t>
      </w:r>
      <w:r>
        <w:rPr>
          <w:rFonts w:ascii="仿宋" w:eastAsia="仿宋" w:hAnsi="仿宋" w:cs="仿宋" w:hint="eastAsia"/>
          <w:sz w:val="32"/>
          <w:szCs w:val="32"/>
        </w:rPr>
        <w:t>2021</w:t>
      </w:r>
      <w:r>
        <w:rPr>
          <w:rFonts w:ascii="仿宋" w:eastAsia="仿宋" w:hAnsi="仿宋" w:cs="仿宋" w:hint="eastAsia"/>
          <w:sz w:val="32"/>
          <w:szCs w:val="32"/>
        </w:rPr>
        <w:t>年部门预算公开如下：</w:t>
      </w:r>
    </w:p>
    <w:p w14:paraId="0DA63C2F" w14:textId="77777777" w:rsidR="001B5865" w:rsidRDefault="00BF4863">
      <w:pPr>
        <w:numPr>
          <w:ilvl w:val="0"/>
          <w:numId w:val="1"/>
        </w:numPr>
        <w:ind w:firstLine="640"/>
        <w:rPr>
          <w:rFonts w:ascii="黑体" w:eastAsia="黑体" w:hAnsi="黑体" w:cs="黑体"/>
          <w:sz w:val="32"/>
          <w:szCs w:val="32"/>
        </w:rPr>
      </w:pPr>
      <w:r>
        <w:rPr>
          <w:rFonts w:ascii="黑体" w:eastAsia="黑体" w:hAnsi="黑体" w:cs="黑体" w:hint="eastAsia"/>
          <w:sz w:val="32"/>
          <w:szCs w:val="32"/>
        </w:rPr>
        <w:t>部门职责及机构设置情况</w:t>
      </w:r>
    </w:p>
    <w:p w14:paraId="3D5F8F92" w14:textId="77777777" w:rsidR="001B5865" w:rsidRDefault="00BF4863">
      <w:pPr>
        <w:ind w:firstLineChars="300" w:firstLine="964"/>
        <w:rPr>
          <w:rFonts w:hAnsi="宋体"/>
          <w:sz w:val="36"/>
        </w:rPr>
      </w:pPr>
      <w:r>
        <w:rPr>
          <w:rFonts w:ascii="黑体" w:eastAsia="黑体" w:hAnsi="黑体" w:cs="黑体" w:hint="eastAsia"/>
          <w:b/>
          <w:sz w:val="32"/>
          <w:szCs w:val="32"/>
        </w:rPr>
        <w:t>（一）部门职责：</w:t>
      </w:r>
    </w:p>
    <w:p w14:paraId="1613AC3C" w14:textId="77777777" w:rsidR="001B5865" w:rsidRDefault="00BF4863">
      <w:pPr>
        <w:jc w:val="center"/>
        <w:rPr>
          <w:rFonts w:hAnsi="宋体"/>
        </w:rPr>
      </w:pPr>
      <w:r>
        <w:rPr>
          <w:rFonts w:ascii="宋体" w:hAnsi="宋体"/>
        </w:rPr>
        <w:t xml:space="preserve"> </w:t>
      </w:r>
    </w:p>
    <w:p w14:paraId="0BC32542" w14:textId="77777777" w:rsidR="001B5865" w:rsidRDefault="00BF4863">
      <w:pPr>
        <w:spacing w:line="500" w:lineRule="exact"/>
        <w:ind w:firstLineChars="200" w:firstLine="640"/>
        <w:jc w:val="left"/>
        <w:rPr>
          <w:rFonts w:hAnsi="宋体"/>
          <w:sz w:val="28"/>
        </w:rPr>
      </w:pPr>
      <w:r>
        <w:rPr>
          <w:rFonts w:ascii="仿宋" w:eastAsia="仿宋" w:hAnsi="仿宋" w:cs="仿宋" w:hint="eastAsia"/>
          <w:sz w:val="32"/>
          <w:szCs w:val="32"/>
        </w:rPr>
        <w:t>根据《丰宁满族自治县粮食局职能配置、内设机构和人员编制规定》，</w:t>
      </w:r>
      <w:r>
        <w:rPr>
          <w:rFonts w:ascii="仿宋" w:eastAsia="仿宋" w:hAnsi="仿宋" w:cs="仿宋" w:hint="eastAsia"/>
          <w:sz w:val="32"/>
          <w:szCs w:val="32"/>
        </w:rPr>
        <w:t xml:space="preserve"> </w:t>
      </w:r>
      <w:r>
        <w:rPr>
          <w:rFonts w:ascii="仿宋" w:eastAsia="仿宋" w:hAnsi="仿宋" w:cs="仿宋" w:hint="eastAsia"/>
          <w:sz w:val="32"/>
          <w:szCs w:val="32"/>
        </w:rPr>
        <w:t>丰宁满族自治县粮食局的主要职责是：</w:t>
      </w:r>
    </w:p>
    <w:p w14:paraId="587915F0"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丰宁满族自治县粮食局部门职责</w:t>
      </w:r>
      <w:r>
        <w:rPr>
          <w:rFonts w:ascii="仿宋" w:eastAsia="仿宋" w:hAnsi="仿宋" w:cs="仿宋" w:hint="eastAsia"/>
          <w:sz w:val="32"/>
          <w:szCs w:val="32"/>
        </w:rPr>
        <w:t>：</w:t>
      </w:r>
    </w:p>
    <w:p w14:paraId="384B8489"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、贯彻落实国家、省、市粮食流通政策及相关法规。</w:t>
      </w:r>
    </w:p>
    <w:p w14:paraId="44284845"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、授权行使全县粮食流通管理及粮食行政执法职能，强化对全县粮食宏观调控管理。</w:t>
      </w:r>
    </w:p>
    <w:p w14:paraId="58696A5D"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、制订粮食行业中长期发展规划，规范粮食市场和流通秩序，培育粮食市场体系。</w:t>
      </w:r>
    </w:p>
    <w:p w14:paraId="5F224FD2"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、指导粮食企业的收购、储存和经营，履行粮食流通监管职能，防控粮食风险。</w:t>
      </w:r>
    </w:p>
    <w:p w14:paraId="425D038E"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、把握粮食流通形势动态，做好粮食统计和社会粮食调查工作。</w:t>
      </w:r>
    </w:p>
    <w:p w14:paraId="055E3761"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、积极探索振兴粮食经济促进企业发展的新思路、新举措，确立大粮食大流通的粮食发展格局。</w:t>
      </w:r>
    </w:p>
    <w:p w14:paraId="0A7F4115"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加强宏观调控，建立健全粮食储备应急机制。切实发挥国有粮食部门的宏观调控职能，保障粮食安全，维护社会稳定，全面建立健全县级粮食储备机制，积极争取各部门支持，加强与相关部门协调，争取粮食应急储备补贴资金及早到位，力争年内县级粮食储备应急工作得到具体落实。继续加强与国有大型粮食企业的合作关系，多方引</w:t>
      </w:r>
      <w:r>
        <w:rPr>
          <w:rFonts w:ascii="仿宋" w:eastAsia="仿宋" w:hAnsi="仿宋" w:cs="仿宋" w:hint="eastAsia"/>
          <w:sz w:val="32"/>
          <w:szCs w:val="32"/>
        </w:rPr>
        <w:lastRenderedPageBreak/>
        <w:t>进资金，增加国储代储粮食数量。切实发挥好社会粮食经纪人作用，搞活粮食流通，组织好粮食收购，保护种粮农民利益，促进全县粮食生产。</w:t>
      </w:r>
    </w:p>
    <w:p w14:paraId="4EF088FC"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、强化社会粮食流通监管。进一步规范社会粮食流通秩序，加强政策宣传，理顺社会粮食流通关</w:t>
      </w:r>
      <w:r>
        <w:rPr>
          <w:rFonts w:ascii="仿宋" w:eastAsia="仿宋" w:hAnsi="仿宋" w:cs="仿宋" w:hint="eastAsia"/>
          <w:sz w:val="32"/>
          <w:szCs w:val="32"/>
        </w:rPr>
        <w:t>系，严密监管措施，确保全县粮食流通市场活跃，运作规范，保障民生，维护稳定。</w:t>
      </w:r>
    </w:p>
    <w:p w14:paraId="7CC41AE3" w14:textId="77777777" w:rsidR="001B5865" w:rsidRDefault="001B5865">
      <w:pPr>
        <w:spacing w:line="500" w:lineRule="exact"/>
        <w:ind w:firstLineChars="200" w:firstLine="560"/>
        <w:jc w:val="left"/>
        <w:rPr>
          <w:rFonts w:eastAsia="方正仿宋_GBK"/>
          <w:sz w:val="28"/>
        </w:rPr>
      </w:pPr>
    </w:p>
    <w:p w14:paraId="0A487386" w14:textId="77777777" w:rsidR="001B5865" w:rsidRDefault="001B5865">
      <w:pPr>
        <w:ind w:firstLineChars="200" w:firstLine="643"/>
        <w:rPr>
          <w:rFonts w:ascii="黑体" w:eastAsia="黑体" w:hAnsi="黑体" w:cs="黑体"/>
          <w:b/>
          <w:sz w:val="32"/>
          <w:szCs w:val="32"/>
        </w:rPr>
      </w:pPr>
    </w:p>
    <w:p w14:paraId="1884954D" w14:textId="77777777" w:rsidR="001B5865" w:rsidRDefault="00BF4863">
      <w:pPr>
        <w:ind w:firstLineChars="250" w:firstLine="803"/>
        <w:rPr>
          <w:rFonts w:ascii="仿宋" w:eastAsia="仿宋" w:hAnsi="仿宋" w:cs="仿宋"/>
          <w:sz w:val="32"/>
          <w:szCs w:val="32"/>
        </w:rPr>
      </w:pPr>
      <w:r>
        <w:rPr>
          <w:rFonts w:ascii="黑体" w:eastAsia="黑体" w:hAnsi="黑体" w:cs="黑体" w:hint="eastAsia"/>
          <w:b/>
          <w:sz w:val="32"/>
          <w:szCs w:val="32"/>
        </w:rPr>
        <w:t>（二）</w:t>
      </w:r>
      <w:r>
        <w:rPr>
          <w:rFonts w:ascii="黑体" w:eastAsia="黑体" w:hAnsi="黑体" w:cs="黑体" w:hint="eastAsia"/>
          <w:b/>
          <w:sz w:val="32"/>
          <w:szCs w:val="32"/>
        </w:rPr>
        <w:t>机构设置：</w:t>
      </w:r>
    </w:p>
    <w:p w14:paraId="31607899" w14:textId="77777777" w:rsidR="001B5865" w:rsidRDefault="00BF4863">
      <w:pPr>
        <w:snapToGrid w:val="0"/>
        <w:spacing w:line="360" w:lineRule="auto"/>
        <w:ind w:left="720"/>
        <w:jc w:val="center"/>
        <w:outlineLvl w:val="0"/>
        <w:rPr>
          <w:rFonts w:ascii="黑体" w:eastAsia="黑体" w:hAnsi="黑体" w:cs="黑体"/>
          <w:b/>
          <w:bCs/>
          <w:color w:val="000000" w:themeColor="text1"/>
          <w:sz w:val="32"/>
          <w:szCs w:val="24"/>
        </w:rPr>
      </w:pPr>
      <w:r>
        <w:rPr>
          <w:rFonts w:ascii="黑体" w:eastAsia="黑体" w:hAnsi="黑体" w:cs="黑体" w:hint="eastAsia"/>
          <w:b/>
          <w:bCs/>
          <w:color w:val="000000" w:themeColor="text1"/>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70"/>
        <w:gridCol w:w="1207"/>
        <w:gridCol w:w="1276"/>
        <w:gridCol w:w="2902"/>
      </w:tblGrid>
      <w:tr w:rsidR="001B5865" w14:paraId="71830FD1" w14:textId="77777777">
        <w:trPr>
          <w:trHeight w:val="312"/>
          <w:tblHeader/>
          <w:jc w:val="center"/>
        </w:trPr>
        <w:tc>
          <w:tcPr>
            <w:tcW w:w="4370" w:type="dxa"/>
            <w:vMerge w:val="restart"/>
            <w:vAlign w:val="center"/>
          </w:tcPr>
          <w:p w14:paraId="5CFF6650"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单位名称</w:t>
            </w:r>
          </w:p>
        </w:tc>
        <w:tc>
          <w:tcPr>
            <w:tcW w:w="1207" w:type="dxa"/>
            <w:vMerge w:val="restart"/>
            <w:vAlign w:val="center"/>
          </w:tcPr>
          <w:p w14:paraId="4D04F802"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单位性质</w:t>
            </w:r>
          </w:p>
        </w:tc>
        <w:tc>
          <w:tcPr>
            <w:tcW w:w="1276" w:type="dxa"/>
            <w:vMerge w:val="restart"/>
            <w:vAlign w:val="center"/>
          </w:tcPr>
          <w:p w14:paraId="52AB429C"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单位规格</w:t>
            </w:r>
          </w:p>
        </w:tc>
        <w:tc>
          <w:tcPr>
            <w:tcW w:w="2902" w:type="dxa"/>
            <w:vMerge w:val="restart"/>
            <w:vAlign w:val="center"/>
          </w:tcPr>
          <w:p w14:paraId="0F274B5E"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经费保障形式</w:t>
            </w:r>
          </w:p>
        </w:tc>
      </w:tr>
      <w:tr w:rsidR="001B5865" w14:paraId="57B2288D" w14:textId="77777777">
        <w:trPr>
          <w:trHeight w:val="300"/>
          <w:tblHeader/>
          <w:jc w:val="center"/>
        </w:trPr>
        <w:tc>
          <w:tcPr>
            <w:tcW w:w="4370" w:type="dxa"/>
            <w:vMerge/>
            <w:vAlign w:val="center"/>
          </w:tcPr>
          <w:p w14:paraId="4C02A762" w14:textId="77777777" w:rsidR="001B5865" w:rsidRDefault="001B5865">
            <w:pPr>
              <w:spacing w:line="300" w:lineRule="exact"/>
              <w:jc w:val="left"/>
              <w:outlineLvl w:val="0"/>
              <w:rPr>
                <w:rFonts w:ascii="仿宋" w:eastAsia="仿宋" w:hAnsi="仿宋" w:cs="仿宋"/>
                <w:szCs w:val="21"/>
              </w:rPr>
            </w:pPr>
          </w:p>
        </w:tc>
        <w:tc>
          <w:tcPr>
            <w:tcW w:w="1207" w:type="dxa"/>
            <w:vMerge/>
            <w:vAlign w:val="center"/>
          </w:tcPr>
          <w:p w14:paraId="1CDC2828" w14:textId="77777777" w:rsidR="001B5865" w:rsidRDefault="001B5865">
            <w:pPr>
              <w:spacing w:line="300" w:lineRule="exact"/>
              <w:jc w:val="left"/>
              <w:outlineLvl w:val="0"/>
              <w:rPr>
                <w:rFonts w:ascii="仿宋" w:eastAsia="仿宋" w:hAnsi="仿宋" w:cs="仿宋"/>
                <w:szCs w:val="21"/>
              </w:rPr>
            </w:pPr>
          </w:p>
        </w:tc>
        <w:tc>
          <w:tcPr>
            <w:tcW w:w="1276" w:type="dxa"/>
            <w:vMerge/>
            <w:vAlign w:val="center"/>
          </w:tcPr>
          <w:p w14:paraId="44FD39EF" w14:textId="77777777" w:rsidR="001B5865" w:rsidRDefault="001B5865">
            <w:pPr>
              <w:spacing w:line="300" w:lineRule="exact"/>
              <w:jc w:val="left"/>
              <w:outlineLvl w:val="0"/>
              <w:rPr>
                <w:rFonts w:ascii="仿宋" w:eastAsia="仿宋" w:hAnsi="仿宋" w:cs="仿宋"/>
                <w:szCs w:val="21"/>
              </w:rPr>
            </w:pPr>
          </w:p>
        </w:tc>
        <w:tc>
          <w:tcPr>
            <w:tcW w:w="2902" w:type="dxa"/>
            <w:vMerge/>
            <w:vAlign w:val="center"/>
          </w:tcPr>
          <w:p w14:paraId="41A45087" w14:textId="77777777" w:rsidR="001B5865" w:rsidRDefault="001B5865">
            <w:pPr>
              <w:spacing w:line="300" w:lineRule="exact"/>
              <w:jc w:val="left"/>
              <w:outlineLvl w:val="0"/>
              <w:rPr>
                <w:rFonts w:ascii="仿宋" w:eastAsia="仿宋" w:hAnsi="仿宋" w:cs="仿宋"/>
                <w:szCs w:val="21"/>
              </w:rPr>
            </w:pPr>
          </w:p>
        </w:tc>
      </w:tr>
      <w:tr w:rsidR="001B5865" w14:paraId="2F8CE0A6" w14:textId="77777777">
        <w:trPr>
          <w:trHeight w:val="227"/>
          <w:jc w:val="center"/>
        </w:trPr>
        <w:tc>
          <w:tcPr>
            <w:tcW w:w="4370" w:type="dxa"/>
            <w:vAlign w:val="center"/>
          </w:tcPr>
          <w:p w14:paraId="68CA9D6F"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监督审计股</w:t>
            </w:r>
          </w:p>
        </w:tc>
        <w:tc>
          <w:tcPr>
            <w:tcW w:w="1207" w:type="dxa"/>
            <w:vAlign w:val="center"/>
          </w:tcPr>
          <w:p w14:paraId="4006A0F6"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行政</w:t>
            </w:r>
          </w:p>
        </w:tc>
        <w:tc>
          <w:tcPr>
            <w:tcW w:w="1276" w:type="dxa"/>
            <w:vAlign w:val="center"/>
          </w:tcPr>
          <w:p w14:paraId="5959DDF3"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股级</w:t>
            </w:r>
          </w:p>
        </w:tc>
        <w:tc>
          <w:tcPr>
            <w:tcW w:w="2902" w:type="dxa"/>
            <w:vAlign w:val="center"/>
          </w:tcPr>
          <w:p w14:paraId="67A49249"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财政性资金基本保证</w:t>
            </w:r>
          </w:p>
        </w:tc>
      </w:tr>
      <w:tr w:rsidR="001B5865" w14:paraId="62BAFAD5" w14:textId="77777777">
        <w:trPr>
          <w:trHeight w:val="227"/>
          <w:jc w:val="center"/>
        </w:trPr>
        <w:tc>
          <w:tcPr>
            <w:tcW w:w="4370" w:type="dxa"/>
            <w:vAlign w:val="center"/>
          </w:tcPr>
          <w:p w14:paraId="4A9309E2"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行业发展股</w:t>
            </w:r>
          </w:p>
        </w:tc>
        <w:tc>
          <w:tcPr>
            <w:tcW w:w="1207" w:type="dxa"/>
            <w:vAlign w:val="center"/>
          </w:tcPr>
          <w:p w14:paraId="05EF0B2E"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行政</w:t>
            </w:r>
          </w:p>
        </w:tc>
        <w:tc>
          <w:tcPr>
            <w:tcW w:w="1276" w:type="dxa"/>
            <w:vAlign w:val="center"/>
          </w:tcPr>
          <w:p w14:paraId="3E8CA2A7"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股级</w:t>
            </w:r>
          </w:p>
        </w:tc>
        <w:tc>
          <w:tcPr>
            <w:tcW w:w="2902" w:type="dxa"/>
            <w:vAlign w:val="center"/>
          </w:tcPr>
          <w:p w14:paraId="3448AA53"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财政性资金基本保证</w:t>
            </w:r>
          </w:p>
        </w:tc>
      </w:tr>
      <w:tr w:rsidR="001B5865" w14:paraId="027EBD95" w14:textId="77777777">
        <w:trPr>
          <w:trHeight w:val="227"/>
          <w:jc w:val="center"/>
        </w:trPr>
        <w:tc>
          <w:tcPr>
            <w:tcW w:w="4370" w:type="dxa"/>
            <w:vAlign w:val="center"/>
          </w:tcPr>
          <w:p w14:paraId="3A359E90"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仓储调控股</w:t>
            </w:r>
          </w:p>
        </w:tc>
        <w:tc>
          <w:tcPr>
            <w:tcW w:w="1207" w:type="dxa"/>
            <w:vAlign w:val="center"/>
          </w:tcPr>
          <w:p w14:paraId="3610C458"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行政</w:t>
            </w:r>
          </w:p>
        </w:tc>
        <w:tc>
          <w:tcPr>
            <w:tcW w:w="1276" w:type="dxa"/>
            <w:vAlign w:val="center"/>
          </w:tcPr>
          <w:p w14:paraId="3C492921"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股级</w:t>
            </w:r>
          </w:p>
        </w:tc>
        <w:tc>
          <w:tcPr>
            <w:tcW w:w="2902" w:type="dxa"/>
            <w:vAlign w:val="center"/>
          </w:tcPr>
          <w:p w14:paraId="5DBBA390"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财政性资金基本保证</w:t>
            </w:r>
          </w:p>
        </w:tc>
      </w:tr>
      <w:tr w:rsidR="001B5865" w14:paraId="460FAE0B" w14:textId="77777777">
        <w:trPr>
          <w:trHeight w:val="227"/>
          <w:jc w:val="center"/>
        </w:trPr>
        <w:tc>
          <w:tcPr>
            <w:tcW w:w="4370" w:type="dxa"/>
            <w:vAlign w:val="center"/>
          </w:tcPr>
          <w:p w14:paraId="533BB0AE"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改制信访股</w:t>
            </w:r>
          </w:p>
        </w:tc>
        <w:tc>
          <w:tcPr>
            <w:tcW w:w="1207" w:type="dxa"/>
            <w:vAlign w:val="center"/>
          </w:tcPr>
          <w:p w14:paraId="33F5DBDB"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行政</w:t>
            </w:r>
          </w:p>
        </w:tc>
        <w:tc>
          <w:tcPr>
            <w:tcW w:w="1276" w:type="dxa"/>
            <w:vAlign w:val="center"/>
          </w:tcPr>
          <w:p w14:paraId="7A002677"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股级</w:t>
            </w:r>
          </w:p>
        </w:tc>
        <w:tc>
          <w:tcPr>
            <w:tcW w:w="2902" w:type="dxa"/>
            <w:vAlign w:val="center"/>
          </w:tcPr>
          <w:p w14:paraId="72D08F20"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财政性资金基本保证</w:t>
            </w:r>
          </w:p>
        </w:tc>
      </w:tr>
      <w:tr w:rsidR="001B5865" w14:paraId="7F547B77" w14:textId="77777777">
        <w:trPr>
          <w:trHeight w:val="227"/>
          <w:jc w:val="center"/>
        </w:trPr>
        <w:tc>
          <w:tcPr>
            <w:tcW w:w="4370" w:type="dxa"/>
            <w:vAlign w:val="center"/>
          </w:tcPr>
          <w:p w14:paraId="6294B9BB"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粮食监督检查大队</w:t>
            </w:r>
          </w:p>
        </w:tc>
        <w:tc>
          <w:tcPr>
            <w:tcW w:w="1207" w:type="dxa"/>
            <w:vAlign w:val="center"/>
          </w:tcPr>
          <w:p w14:paraId="7EA61DB0"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行政</w:t>
            </w:r>
          </w:p>
        </w:tc>
        <w:tc>
          <w:tcPr>
            <w:tcW w:w="1276" w:type="dxa"/>
            <w:vAlign w:val="center"/>
          </w:tcPr>
          <w:p w14:paraId="45CDD236"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股级</w:t>
            </w:r>
          </w:p>
        </w:tc>
        <w:tc>
          <w:tcPr>
            <w:tcW w:w="2902" w:type="dxa"/>
            <w:vAlign w:val="center"/>
          </w:tcPr>
          <w:p w14:paraId="04064367"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财政性资金基本保证</w:t>
            </w:r>
          </w:p>
        </w:tc>
      </w:tr>
    </w:tbl>
    <w:p w14:paraId="67117525" w14:textId="77777777" w:rsidR="001B5865" w:rsidRDefault="001B5865">
      <w:pPr>
        <w:snapToGrid w:val="0"/>
        <w:spacing w:line="360" w:lineRule="auto"/>
        <w:ind w:left="720"/>
        <w:jc w:val="center"/>
        <w:outlineLvl w:val="0"/>
        <w:rPr>
          <w:rFonts w:ascii="仿宋_GB2312"/>
          <w:b/>
        </w:rPr>
      </w:pPr>
    </w:p>
    <w:p w14:paraId="23C80275" w14:textId="77777777" w:rsidR="001B5865" w:rsidRDefault="00BF4863">
      <w:pPr>
        <w:snapToGrid w:val="0"/>
        <w:spacing w:line="360" w:lineRule="auto"/>
        <w:ind w:left="720"/>
        <w:jc w:val="center"/>
        <w:outlineLvl w:val="0"/>
        <w:rPr>
          <w:rFonts w:ascii="黑体" w:eastAsia="黑体" w:hAnsi="黑体" w:cs="黑体"/>
          <w:b/>
          <w:bCs/>
          <w:color w:val="000000" w:themeColor="text1"/>
          <w:sz w:val="32"/>
          <w:szCs w:val="24"/>
        </w:rPr>
      </w:pPr>
      <w:r>
        <w:rPr>
          <w:rFonts w:ascii="黑体" w:eastAsia="黑体" w:hAnsi="黑体" w:cs="黑体" w:hint="eastAsia"/>
          <w:b/>
          <w:bCs/>
          <w:color w:val="000000" w:themeColor="text1"/>
          <w:sz w:val="32"/>
          <w:szCs w:val="24"/>
        </w:rPr>
        <w:t>部门预算单位人员情况</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45"/>
        <w:gridCol w:w="895"/>
        <w:gridCol w:w="893"/>
        <w:gridCol w:w="12"/>
        <w:gridCol w:w="869"/>
        <w:gridCol w:w="1075"/>
        <w:gridCol w:w="1072"/>
        <w:gridCol w:w="895"/>
        <w:gridCol w:w="905"/>
        <w:gridCol w:w="899"/>
      </w:tblGrid>
      <w:tr w:rsidR="001B5865" w14:paraId="5F553F5A" w14:textId="77777777">
        <w:trPr>
          <w:cantSplit/>
          <w:trHeight w:val="593"/>
          <w:tblHeader/>
          <w:jc w:val="center"/>
        </w:trPr>
        <w:tc>
          <w:tcPr>
            <w:tcW w:w="2245" w:type="dxa"/>
            <w:vMerge w:val="restart"/>
            <w:noWrap/>
            <w:vAlign w:val="center"/>
          </w:tcPr>
          <w:p w14:paraId="4B12F934"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位</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名</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称</w:t>
            </w:r>
          </w:p>
        </w:tc>
        <w:tc>
          <w:tcPr>
            <w:tcW w:w="1788" w:type="dxa"/>
            <w:gridSpan w:val="2"/>
            <w:noWrap/>
            <w:vAlign w:val="center"/>
          </w:tcPr>
          <w:p w14:paraId="31EF0A4C"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编</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制</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人</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数（人）</w:t>
            </w:r>
          </w:p>
        </w:tc>
        <w:tc>
          <w:tcPr>
            <w:tcW w:w="1956" w:type="dxa"/>
            <w:gridSpan w:val="3"/>
            <w:noWrap/>
            <w:vAlign w:val="center"/>
          </w:tcPr>
          <w:p w14:paraId="3A6AC73F"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在　职</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人</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数（人）</w:t>
            </w:r>
          </w:p>
        </w:tc>
        <w:tc>
          <w:tcPr>
            <w:tcW w:w="1072" w:type="dxa"/>
            <w:vMerge w:val="restart"/>
            <w:noWrap/>
            <w:vAlign w:val="center"/>
          </w:tcPr>
          <w:p w14:paraId="2D6A9A39"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非在职人数（人）</w:t>
            </w:r>
          </w:p>
        </w:tc>
        <w:tc>
          <w:tcPr>
            <w:tcW w:w="2695" w:type="dxa"/>
            <w:gridSpan w:val="3"/>
            <w:noWrap/>
            <w:vAlign w:val="center"/>
          </w:tcPr>
          <w:p w14:paraId="6DAB4A7B"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离退人数（人）</w:t>
            </w:r>
          </w:p>
        </w:tc>
      </w:tr>
      <w:tr w:rsidR="001B5865" w14:paraId="7B63CBDE" w14:textId="77777777">
        <w:trPr>
          <w:cantSplit/>
          <w:trHeight w:val="456"/>
          <w:tblHeader/>
          <w:jc w:val="center"/>
        </w:trPr>
        <w:tc>
          <w:tcPr>
            <w:tcW w:w="2245" w:type="dxa"/>
            <w:vMerge/>
            <w:noWrap/>
            <w:vAlign w:val="center"/>
          </w:tcPr>
          <w:p w14:paraId="646C4479" w14:textId="77777777" w:rsidR="001B5865" w:rsidRDefault="001B5865">
            <w:pPr>
              <w:autoSpaceDE w:val="0"/>
              <w:autoSpaceDN w:val="0"/>
              <w:adjustRightInd w:val="0"/>
              <w:ind w:firstLine="675"/>
              <w:jc w:val="center"/>
              <w:rPr>
                <w:rFonts w:ascii="仿宋" w:eastAsia="仿宋" w:hAnsi="仿宋" w:cs="仿宋"/>
                <w:b/>
                <w:color w:val="000000" w:themeColor="text1"/>
                <w:sz w:val="24"/>
                <w:szCs w:val="24"/>
              </w:rPr>
            </w:pPr>
          </w:p>
        </w:tc>
        <w:tc>
          <w:tcPr>
            <w:tcW w:w="895" w:type="dxa"/>
            <w:noWrap/>
            <w:vAlign w:val="center"/>
          </w:tcPr>
          <w:p w14:paraId="288BBB90"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行</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政</w:t>
            </w:r>
          </w:p>
        </w:tc>
        <w:tc>
          <w:tcPr>
            <w:tcW w:w="893" w:type="dxa"/>
            <w:noWrap/>
            <w:vAlign w:val="center"/>
          </w:tcPr>
          <w:p w14:paraId="13A7427B"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事业</w:t>
            </w:r>
          </w:p>
        </w:tc>
        <w:tc>
          <w:tcPr>
            <w:tcW w:w="881" w:type="dxa"/>
            <w:gridSpan w:val="2"/>
            <w:noWrap/>
            <w:vAlign w:val="center"/>
          </w:tcPr>
          <w:p w14:paraId="12AE20E2"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行政</w:t>
            </w:r>
          </w:p>
        </w:tc>
        <w:tc>
          <w:tcPr>
            <w:tcW w:w="1075" w:type="dxa"/>
            <w:noWrap/>
            <w:vAlign w:val="center"/>
          </w:tcPr>
          <w:p w14:paraId="3D303A6B"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事</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业</w:t>
            </w:r>
          </w:p>
        </w:tc>
        <w:tc>
          <w:tcPr>
            <w:tcW w:w="1072" w:type="dxa"/>
            <w:vMerge/>
            <w:noWrap/>
            <w:vAlign w:val="center"/>
          </w:tcPr>
          <w:p w14:paraId="7E3DFD2C" w14:textId="77777777" w:rsidR="001B5865" w:rsidRDefault="001B5865">
            <w:pPr>
              <w:autoSpaceDE w:val="0"/>
              <w:autoSpaceDN w:val="0"/>
              <w:adjustRightInd w:val="0"/>
              <w:jc w:val="center"/>
              <w:rPr>
                <w:rFonts w:ascii="仿宋" w:eastAsia="仿宋" w:hAnsi="仿宋" w:cs="仿宋"/>
                <w:b/>
                <w:color w:val="000000" w:themeColor="text1"/>
                <w:sz w:val="24"/>
                <w:szCs w:val="24"/>
              </w:rPr>
            </w:pPr>
          </w:p>
        </w:tc>
        <w:tc>
          <w:tcPr>
            <w:tcW w:w="895" w:type="dxa"/>
            <w:noWrap/>
            <w:vAlign w:val="center"/>
          </w:tcPr>
          <w:p w14:paraId="2B268D2D"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离休</w:t>
            </w:r>
          </w:p>
        </w:tc>
        <w:tc>
          <w:tcPr>
            <w:tcW w:w="905" w:type="dxa"/>
            <w:noWrap/>
            <w:vAlign w:val="center"/>
          </w:tcPr>
          <w:p w14:paraId="0102CB7F"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退休</w:t>
            </w:r>
          </w:p>
        </w:tc>
        <w:tc>
          <w:tcPr>
            <w:tcW w:w="895" w:type="dxa"/>
            <w:noWrap/>
            <w:vAlign w:val="center"/>
          </w:tcPr>
          <w:p w14:paraId="634579F0" w14:textId="77777777" w:rsidR="001B5865" w:rsidRDefault="00BF4863">
            <w:pPr>
              <w:autoSpaceDE w:val="0"/>
              <w:autoSpaceDN w:val="0"/>
              <w:adjustRightIn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退职</w:t>
            </w:r>
          </w:p>
        </w:tc>
      </w:tr>
      <w:tr w:rsidR="001B5865" w14:paraId="3B0F61B9" w14:textId="77777777">
        <w:tblPrEx>
          <w:tblCellMar>
            <w:left w:w="108" w:type="dxa"/>
            <w:right w:w="108" w:type="dxa"/>
          </w:tblCellMar>
        </w:tblPrEx>
        <w:trPr>
          <w:trHeight w:val="593"/>
          <w:jc w:val="center"/>
        </w:trPr>
        <w:tc>
          <w:tcPr>
            <w:tcW w:w="2245" w:type="dxa"/>
            <w:tcBorders>
              <w:top w:val="nil"/>
              <w:bottom w:val="single" w:sz="4" w:space="0" w:color="auto"/>
            </w:tcBorders>
            <w:noWrap/>
            <w:vAlign w:val="center"/>
          </w:tcPr>
          <w:p w14:paraId="3E910D98" w14:textId="77777777" w:rsidR="001B5865" w:rsidRDefault="00BF4863">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丰宁满族自治县粮食局</w:t>
            </w:r>
          </w:p>
        </w:tc>
        <w:tc>
          <w:tcPr>
            <w:tcW w:w="895" w:type="dxa"/>
            <w:tcBorders>
              <w:bottom w:val="nil"/>
            </w:tcBorders>
            <w:noWrap/>
            <w:vAlign w:val="center"/>
          </w:tcPr>
          <w:p w14:paraId="5DC34321" w14:textId="77777777" w:rsidR="001B5865" w:rsidRDefault="00BF4863">
            <w:pPr>
              <w:widowControl/>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w:t>
            </w:r>
          </w:p>
        </w:tc>
        <w:tc>
          <w:tcPr>
            <w:tcW w:w="905" w:type="dxa"/>
            <w:gridSpan w:val="2"/>
            <w:tcBorders>
              <w:top w:val="nil"/>
              <w:bottom w:val="single" w:sz="4" w:space="0" w:color="auto"/>
            </w:tcBorders>
            <w:noWrap/>
            <w:vAlign w:val="center"/>
          </w:tcPr>
          <w:p w14:paraId="26F32AB2" w14:textId="77777777" w:rsidR="001B5865" w:rsidRDefault="00BF4863">
            <w:pPr>
              <w:widowControl/>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869" w:type="dxa"/>
            <w:tcBorders>
              <w:top w:val="nil"/>
              <w:bottom w:val="single" w:sz="4" w:space="0" w:color="auto"/>
            </w:tcBorders>
            <w:noWrap/>
            <w:vAlign w:val="center"/>
          </w:tcPr>
          <w:p w14:paraId="59B9C31B" w14:textId="77777777" w:rsidR="001B5865" w:rsidRDefault="00BF4863">
            <w:pPr>
              <w:widowControl/>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p>
        </w:tc>
        <w:tc>
          <w:tcPr>
            <w:tcW w:w="1075" w:type="dxa"/>
            <w:tcBorders>
              <w:top w:val="nil"/>
              <w:bottom w:val="single" w:sz="4" w:space="0" w:color="auto"/>
            </w:tcBorders>
            <w:noWrap/>
            <w:vAlign w:val="center"/>
          </w:tcPr>
          <w:p w14:paraId="467ED7D9" w14:textId="77777777" w:rsidR="001B5865" w:rsidRDefault="00BF4863">
            <w:pPr>
              <w:widowControl/>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1072" w:type="dxa"/>
            <w:tcBorders>
              <w:top w:val="nil"/>
              <w:bottom w:val="single" w:sz="4" w:space="0" w:color="auto"/>
            </w:tcBorders>
            <w:noWrap/>
            <w:vAlign w:val="center"/>
          </w:tcPr>
          <w:p w14:paraId="0B2B6F09" w14:textId="77777777" w:rsidR="001B5865" w:rsidRDefault="001B5865">
            <w:pPr>
              <w:widowControl/>
              <w:jc w:val="center"/>
              <w:rPr>
                <w:rFonts w:ascii="仿宋" w:eastAsia="仿宋" w:hAnsi="仿宋" w:cs="仿宋"/>
                <w:color w:val="000000" w:themeColor="text1"/>
                <w:sz w:val="24"/>
                <w:szCs w:val="24"/>
              </w:rPr>
            </w:pPr>
          </w:p>
        </w:tc>
        <w:tc>
          <w:tcPr>
            <w:tcW w:w="895" w:type="dxa"/>
            <w:tcBorders>
              <w:top w:val="nil"/>
              <w:bottom w:val="single" w:sz="4" w:space="0" w:color="auto"/>
            </w:tcBorders>
            <w:noWrap/>
            <w:vAlign w:val="center"/>
          </w:tcPr>
          <w:p w14:paraId="1C4F5F86" w14:textId="77777777" w:rsidR="001B5865" w:rsidRDefault="001B5865">
            <w:pPr>
              <w:widowControl/>
              <w:jc w:val="center"/>
              <w:rPr>
                <w:rFonts w:ascii="仿宋" w:eastAsia="仿宋" w:hAnsi="仿宋" w:cs="仿宋"/>
                <w:color w:val="000000" w:themeColor="text1"/>
                <w:sz w:val="24"/>
                <w:szCs w:val="24"/>
              </w:rPr>
            </w:pPr>
          </w:p>
        </w:tc>
        <w:tc>
          <w:tcPr>
            <w:tcW w:w="905" w:type="dxa"/>
            <w:tcBorders>
              <w:top w:val="nil"/>
              <w:bottom w:val="single" w:sz="4" w:space="0" w:color="auto"/>
            </w:tcBorders>
            <w:noWrap/>
            <w:vAlign w:val="center"/>
          </w:tcPr>
          <w:p w14:paraId="2C105473" w14:textId="77777777" w:rsidR="001B5865" w:rsidRDefault="00BF4863">
            <w:pPr>
              <w:widowControl/>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39</w:t>
            </w:r>
          </w:p>
        </w:tc>
        <w:tc>
          <w:tcPr>
            <w:tcW w:w="899" w:type="dxa"/>
            <w:tcBorders>
              <w:top w:val="nil"/>
              <w:bottom w:val="single" w:sz="4" w:space="0" w:color="auto"/>
            </w:tcBorders>
            <w:noWrap/>
            <w:vAlign w:val="center"/>
          </w:tcPr>
          <w:p w14:paraId="09847F2C" w14:textId="77777777" w:rsidR="001B5865" w:rsidRDefault="001B5865">
            <w:pPr>
              <w:widowControl/>
              <w:jc w:val="center"/>
              <w:rPr>
                <w:rFonts w:ascii="仿宋" w:eastAsia="仿宋" w:hAnsi="仿宋" w:cs="仿宋"/>
                <w:color w:val="000000" w:themeColor="text1"/>
                <w:sz w:val="24"/>
                <w:szCs w:val="24"/>
              </w:rPr>
            </w:pPr>
          </w:p>
        </w:tc>
      </w:tr>
      <w:tr w:rsidR="001B5865" w14:paraId="6C2EC318" w14:textId="77777777">
        <w:tblPrEx>
          <w:tblCellMar>
            <w:left w:w="108" w:type="dxa"/>
            <w:right w:w="108" w:type="dxa"/>
          </w:tblCellMar>
        </w:tblPrEx>
        <w:trPr>
          <w:trHeight w:val="568"/>
          <w:jc w:val="center"/>
        </w:trPr>
        <w:tc>
          <w:tcPr>
            <w:tcW w:w="2245" w:type="dxa"/>
            <w:tcBorders>
              <w:top w:val="single" w:sz="4" w:space="0" w:color="auto"/>
              <w:bottom w:val="single" w:sz="4" w:space="0" w:color="auto"/>
            </w:tcBorders>
            <w:noWrap/>
            <w:vAlign w:val="center"/>
          </w:tcPr>
          <w:p w14:paraId="5824CC86" w14:textId="77777777" w:rsidR="001B5865" w:rsidRDefault="001B5865">
            <w:pPr>
              <w:jc w:val="center"/>
              <w:rPr>
                <w:rFonts w:ascii="仿宋" w:eastAsia="仿宋" w:hAnsi="仿宋" w:cs="仿宋"/>
                <w:color w:val="000000" w:themeColor="text1"/>
                <w:sz w:val="24"/>
                <w:szCs w:val="24"/>
              </w:rPr>
            </w:pPr>
          </w:p>
        </w:tc>
        <w:tc>
          <w:tcPr>
            <w:tcW w:w="895" w:type="dxa"/>
            <w:tcBorders>
              <w:top w:val="single" w:sz="4" w:space="0" w:color="auto"/>
              <w:bottom w:val="single" w:sz="4" w:space="0" w:color="auto"/>
            </w:tcBorders>
            <w:noWrap/>
            <w:vAlign w:val="center"/>
          </w:tcPr>
          <w:p w14:paraId="16C7141D" w14:textId="77777777" w:rsidR="001B5865" w:rsidRDefault="001B5865">
            <w:pPr>
              <w:widowControl/>
              <w:jc w:val="center"/>
              <w:rPr>
                <w:rFonts w:ascii="仿宋" w:eastAsia="仿宋" w:hAnsi="仿宋" w:cs="仿宋"/>
                <w:color w:val="000000" w:themeColor="text1"/>
                <w:sz w:val="24"/>
                <w:szCs w:val="24"/>
              </w:rPr>
            </w:pPr>
          </w:p>
        </w:tc>
        <w:tc>
          <w:tcPr>
            <w:tcW w:w="905" w:type="dxa"/>
            <w:gridSpan w:val="2"/>
            <w:tcBorders>
              <w:top w:val="single" w:sz="4" w:space="0" w:color="auto"/>
              <w:bottom w:val="single" w:sz="4" w:space="0" w:color="auto"/>
            </w:tcBorders>
            <w:noWrap/>
            <w:vAlign w:val="center"/>
          </w:tcPr>
          <w:p w14:paraId="6E5B516F" w14:textId="77777777" w:rsidR="001B5865" w:rsidRDefault="001B5865">
            <w:pPr>
              <w:widowControl/>
              <w:jc w:val="center"/>
              <w:rPr>
                <w:rFonts w:ascii="仿宋" w:eastAsia="仿宋" w:hAnsi="仿宋" w:cs="仿宋"/>
                <w:color w:val="000000" w:themeColor="text1"/>
                <w:sz w:val="24"/>
                <w:szCs w:val="24"/>
              </w:rPr>
            </w:pPr>
          </w:p>
        </w:tc>
        <w:tc>
          <w:tcPr>
            <w:tcW w:w="869" w:type="dxa"/>
            <w:tcBorders>
              <w:top w:val="single" w:sz="4" w:space="0" w:color="auto"/>
              <w:bottom w:val="single" w:sz="4" w:space="0" w:color="auto"/>
            </w:tcBorders>
            <w:noWrap/>
            <w:vAlign w:val="center"/>
          </w:tcPr>
          <w:p w14:paraId="404FF24E" w14:textId="77777777" w:rsidR="001B5865" w:rsidRDefault="001B5865">
            <w:pPr>
              <w:widowControl/>
              <w:jc w:val="center"/>
              <w:rPr>
                <w:rFonts w:ascii="仿宋" w:eastAsia="仿宋" w:hAnsi="仿宋" w:cs="仿宋"/>
                <w:color w:val="000000" w:themeColor="text1"/>
                <w:sz w:val="24"/>
                <w:szCs w:val="24"/>
              </w:rPr>
            </w:pPr>
          </w:p>
        </w:tc>
        <w:tc>
          <w:tcPr>
            <w:tcW w:w="1075" w:type="dxa"/>
            <w:tcBorders>
              <w:top w:val="single" w:sz="4" w:space="0" w:color="auto"/>
              <w:bottom w:val="single" w:sz="4" w:space="0" w:color="auto"/>
            </w:tcBorders>
            <w:noWrap/>
            <w:vAlign w:val="center"/>
          </w:tcPr>
          <w:p w14:paraId="560F723A" w14:textId="77777777" w:rsidR="001B5865" w:rsidRDefault="001B5865">
            <w:pPr>
              <w:widowControl/>
              <w:jc w:val="center"/>
              <w:rPr>
                <w:rFonts w:ascii="仿宋" w:eastAsia="仿宋" w:hAnsi="仿宋" w:cs="仿宋"/>
                <w:color w:val="000000" w:themeColor="text1"/>
                <w:sz w:val="24"/>
                <w:szCs w:val="24"/>
              </w:rPr>
            </w:pPr>
          </w:p>
        </w:tc>
        <w:tc>
          <w:tcPr>
            <w:tcW w:w="1072" w:type="dxa"/>
            <w:tcBorders>
              <w:top w:val="single" w:sz="4" w:space="0" w:color="auto"/>
              <w:bottom w:val="single" w:sz="4" w:space="0" w:color="auto"/>
            </w:tcBorders>
            <w:noWrap/>
            <w:vAlign w:val="center"/>
          </w:tcPr>
          <w:p w14:paraId="299DF762" w14:textId="77777777" w:rsidR="001B5865" w:rsidRDefault="001B5865">
            <w:pPr>
              <w:widowControl/>
              <w:jc w:val="center"/>
              <w:rPr>
                <w:rFonts w:ascii="仿宋" w:eastAsia="仿宋" w:hAnsi="仿宋" w:cs="仿宋"/>
                <w:color w:val="000000" w:themeColor="text1"/>
                <w:sz w:val="24"/>
                <w:szCs w:val="24"/>
              </w:rPr>
            </w:pPr>
          </w:p>
        </w:tc>
        <w:tc>
          <w:tcPr>
            <w:tcW w:w="895" w:type="dxa"/>
            <w:tcBorders>
              <w:top w:val="single" w:sz="4" w:space="0" w:color="auto"/>
              <w:bottom w:val="single" w:sz="4" w:space="0" w:color="auto"/>
            </w:tcBorders>
            <w:noWrap/>
            <w:vAlign w:val="center"/>
          </w:tcPr>
          <w:p w14:paraId="2C283C0D" w14:textId="77777777" w:rsidR="001B5865" w:rsidRDefault="001B5865">
            <w:pPr>
              <w:widowControl/>
              <w:jc w:val="center"/>
              <w:rPr>
                <w:rFonts w:ascii="仿宋" w:eastAsia="仿宋" w:hAnsi="仿宋" w:cs="仿宋"/>
                <w:color w:val="000000" w:themeColor="text1"/>
                <w:sz w:val="24"/>
                <w:szCs w:val="24"/>
              </w:rPr>
            </w:pPr>
          </w:p>
        </w:tc>
        <w:tc>
          <w:tcPr>
            <w:tcW w:w="905" w:type="dxa"/>
            <w:tcBorders>
              <w:top w:val="single" w:sz="4" w:space="0" w:color="auto"/>
              <w:bottom w:val="single" w:sz="4" w:space="0" w:color="auto"/>
            </w:tcBorders>
            <w:noWrap/>
            <w:vAlign w:val="center"/>
          </w:tcPr>
          <w:p w14:paraId="1E948336" w14:textId="77777777" w:rsidR="001B5865" w:rsidRDefault="001B5865">
            <w:pPr>
              <w:widowControl/>
              <w:jc w:val="center"/>
              <w:rPr>
                <w:rFonts w:ascii="仿宋" w:eastAsia="仿宋" w:hAnsi="仿宋" w:cs="仿宋"/>
                <w:color w:val="000000" w:themeColor="text1"/>
                <w:sz w:val="24"/>
                <w:szCs w:val="24"/>
              </w:rPr>
            </w:pPr>
          </w:p>
        </w:tc>
        <w:tc>
          <w:tcPr>
            <w:tcW w:w="899" w:type="dxa"/>
            <w:tcBorders>
              <w:top w:val="single" w:sz="4" w:space="0" w:color="auto"/>
              <w:bottom w:val="single" w:sz="4" w:space="0" w:color="auto"/>
            </w:tcBorders>
            <w:noWrap/>
            <w:vAlign w:val="center"/>
          </w:tcPr>
          <w:p w14:paraId="427A62D8" w14:textId="77777777" w:rsidR="001B5865" w:rsidRDefault="001B5865">
            <w:pPr>
              <w:widowControl/>
              <w:jc w:val="center"/>
              <w:rPr>
                <w:rFonts w:ascii="仿宋" w:eastAsia="仿宋" w:hAnsi="仿宋" w:cs="仿宋"/>
                <w:color w:val="000000" w:themeColor="text1"/>
                <w:sz w:val="24"/>
                <w:szCs w:val="24"/>
              </w:rPr>
            </w:pPr>
          </w:p>
        </w:tc>
      </w:tr>
      <w:tr w:rsidR="001B5865" w14:paraId="0EDD1B22" w14:textId="77777777">
        <w:tblPrEx>
          <w:tblCellMar>
            <w:left w:w="108" w:type="dxa"/>
            <w:right w:w="108" w:type="dxa"/>
          </w:tblCellMar>
        </w:tblPrEx>
        <w:trPr>
          <w:trHeight w:val="602"/>
          <w:jc w:val="center"/>
        </w:trPr>
        <w:tc>
          <w:tcPr>
            <w:tcW w:w="2245" w:type="dxa"/>
            <w:tcBorders>
              <w:top w:val="single" w:sz="4" w:space="0" w:color="auto"/>
              <w:bottom w:val="single" w:sz="4" w:space="0" w:color="auto"/>
            </w:tcBorders>
            <w:noWrap/>
            <w:vAlign w:val="center"/>
          </w:tcPr>
          <w:p w14:paraId="58FF6C9F" w14:textId="77777777" w:rsidR="001B5865" w:rsidRDefault="00BF486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计</w:t>
            </w:r>
          </w:p>
        </w:tc>
        <w:tc>
          <w:tcPr>
            <w:tcW w:w="895" w:type="dxa"/>
            <w:tcBorders>
              <w:top w:val="single" w:sz="4" w:space="0" w:color="auto"/>
              <w:bottom w:val="single" w:sz="4" w:space="0" w:color="auto"/>
            </w:tcBorders>
            <w:noWrap/>
            <w:vAlign w:val="center"/>
          </w:tcPr>
          <w:p w14:paraId="59F7082C" w14:textId="77777777" w:rsidR="001B5865" w:rsidRDefault="001B5865">
            <w:pPr>
              <w:widowControl/>
              <w:jc w:val="center"/>
              <w:rPr>
                <w:rFonts w:ascii="仿宋" w:eastAsia="仿宋" w:hAnsi="仿宋" w:cs="仿宋"/>
                <w:color w:val="000000" w:themeColor="text1"/>
                <w:sz w:val="24"/>
                <w:szCs w:val="24"/>
              </w:rPr>
            </w:pPr>
          </w:p>
        </w:tc>
        <w:tc>
          <w:tcPr>
            <w:tcW w:w="905" w:type="dxa"/>
            <w:gridSpan w:val="2"/>
            <w:tcBorders>
              <w:top w:val="single" w:sz="4" w:space="0" w:color="auto"/>
              <w:bottom w:val="single" w:sz="4" w:space="0" w:color="auto"/>
            </w:tcBorders>
            <w:noWrap/>
            <w:vAlign w:val="center"/>
          </w:tcPr>
          <w:p w14:paraId="750155D9" w14:textId="77777777" w:rsidR="001B5865" w:rsidRDefault="001B5865">
            <w:pPr>
              <w:widowControl/>
              <w:jc w:val="center"/>
              <w:rPr>
                <w:rFonts w:ascii="仿宋" w:eastAsia="仿宋" w:hAnsi="仿宋" w:cs="仿宋"/>
                <w:color w:val="000000" w:themeColor="text1"/>
                <w:sz w:val="24"/>
                <w:szCs w:val="24"/>
              </w:rPr>
            </w:pPr>
          </w:p>
        </w:tc>
        <w:tc>
          <w:tcPr>
            <w:tcW w:w="869" w:type="dxa"/>
            <w:tcBorders>
              <w:top w:val="single" w:sz="4" w:space="0" w:color="auto"/>
              <w:bottom w:val="single" w:sz="4" w:space="0" w:color="auto"/>
            </w:tcBorders>
            <w:noWrap/>
            <w:vAlign w:val="center"/>
          </w:tcPr>
          <w:p w14:paraId="4F476C2E" w14:textId="77777777" w:rsidR="001B5865" w:rsidRDefault="001B5865">
            <w:pPr>
              <w:widowControl/>
              <w:jc w:val="center"/>
              <w:rPr>
                <w:rFonts w:ascii="仿宋" w:eastAsia="仿宋" w:hAnsi="仿宋" w:cs="仿宋"/>
                <w:color w:val="000000" w:themeColor="text1"/>
                <w:sz w:val="24"/>
                <w:szCs w:val="24"/>
              </w:rPr>
            </w:pPr>
          </w:p>
        </w:tc>
        <w:tc>
          <w:tcPr>
            <w:tcW w:w="1075" w:type="dxa"/>
            <w:tcBorders>
              <w:top w:val="single" w:sz="4" w:space="0" w:color="auto"/>
              <w:bottom w:val="single" w:sz="4" w:space="0" w:color="auto"/>
            </w:tcBorders>
            <w:noWrap/>
            <w:vAlign w:val="center"/>
          </w:tcPr>
          <w:p w14:paraId="020DEE6A" w14:textId="77777777" w:rsidR="001B5865" w:rsidRDefault="001B5865">
            <w:pPr>
              <w:widowControl/>
              <w:jc w:val="center"/>
              <w:rPr>
                <w:rFonts w:ascii="仿宋" w:eastAsia="仿宋" w:hAnsi="仿宋" w:cs="仿宋"/>
                <w:color w:val="000000" w:themeColor="text1"/>
                <w:sz w:val="24"/>
                <w:szCs w:val="24"/>
              </w:rPr>
            </w:pPr>
          </w:p>
        </w:tc>
        <w:tc>
          <w:tcPr>
            <w:tcW w:w="1072" w:type="dxa"/>
            <w:tcBorders>
              <w:top w:val="single" w:sz="4" w:space="0" w:color="auto"/>
              <w:bottom w:val="single" w:sz="4" w:space="0" w:color="auto"/>
            </w:tcBorders>
            <w:noWrap/>
            <w:vAlign w:val="center"/>
          </w:tcPr>
          <w:p w14:paraId="6B8019D8" w14:textId="77777777" w:rsidR="001B5865" w:rsidRDefault="001B5865">
            <w:pPr>
              <w:widowControl/>
              <w:jc w:val="center"/>
              <w:rPr>
                <w:rFonts w:ascii="仿宋" w:eastAsia="仿宋" w:hAnsi="仿宋" w:cs="仿宋"/>
                <w:color w:val="000000" w:themeColor="text1"/>
                <w:sz w:val="24"/>
                <w:szCs w:val="24"/>
              </w:rPr>
            </w:pPr>
          </w:p>
        </w:tc>
        <w:tc>
          <w:tcPr>
            <w:tcW w:w="895" w:type="dxa"/>
            <w:tcBorders>
              <w:top w:val="single" w:sz="4" w:space="0" w:color="auto"/>
              <w:bottom w:val="single" w:sz="4" w:space="0" w:color="auto"/>
            </w:tcBorders>
            <w:noWrap/>
            <w:vAlign w:val="center"/>
          </w:tcPr>
          <w:p w14:paraId="2C6C5C4C" w14:textId="77777777" w:rsidR="001B5865" w:rsidRDefault="001B5865">
            <w:pPr>
              <w:widowControl/>
              <w:jc w:val="center"/>
              <w:rPr>
                <w:rFonts w:ascii="仿宋" w:eastAsia="仿宋" w:hAnsi="仿宋" w:cs="仿宋"/>
                <w:color w:val="000000" w:themeColor="text1"/>
                <w:sz w:val="24"/>
                <w:szCs w:val="24"/>
              </w:rPr>
            </w:pPr>
          </w:p>
        </w:tc>
        <w:tc>
          <w:tcPr>
            <w:tcW w:w="905" w:type="dxa"/>
            <w:tcBorders>
              <w:top w:val="single" w:sz="4" w:space="0" w:color="auto"/>
              <w:bottom w:val="single" w:sz="4" w:space="0" w:color="auto"/>
            </w:tcBorders>
            <w:noWrap/>
            <w:vAlign w:val="center"/>
          </w:tcPr>
          <w:p w14:paraId="541D9E82" w14:textId="77777777" w:rsidR="001B5865" w:rsidRDefault="001B5865">
            <w:pPr>
              <w:widowControl/>
              <w:jc w:val="center"/>
              <w:rPr>
                <w:rFonts w:ascii="仿宋" w:eastAsia="仿宋" w:hAnsi="仿宋" w:cs="仿宋"/>
                <w:color w:val="000000" w:themeColor="text1"/>
                <w:sz w:val="24"/>
                <w:szCs w:val="24"/>
              </w:rPr>
            </w:pPr>
          </w:p>
        </w:tc>
        <w:tc>
          <w:tcPr>
            <w:tcW w:w="899" w:type="dxa"/>
            <w:tcBorders>
              <w:top w:val="single" w:sz="4" w:space="0" w:color="auto"/>
              <w:bottom w:val="single" w:sz="4" w:space="0" w:color="auto"/>
            </w:tcBorders>
            <w:noWrap/>
            <w:vAlign w:val="center"/>
          </w:tcPr>
          <w:p w14:paraId="0F56C556" w14:textId="77777777" w:rsidR="001B5865" w:rsidRDefault="001B5865">
            <w:pPr>
              <w:widowControl/>
              <w:jc w:val="center"/>
              <w:rPr>
                <w:rFonts w:ascii="仿宋" w:eastAsia="仿宋" w:hAnsi="仿宋" w:cs="仿宋"/>
                <w:color w:val="000000" w:themeColor="text1"/>
                <w:sz w:val="24"/>
                <w:szCs w:val="24"/>
              </w:rPr>
            </w:pPr>
          </w:p>
        </w:tc>
      </w:tr>
    </w:tbl>
    <w:p w14:paraId="5366A53E" w14:textId="77777777" w:rsidR="001B5865" w:rsidRDefault="00BF4863">
      <w:pPr>
        <w:numPr>
          <w:ilvl w:val="0"/>
          <w:numId w:val="2"/>
        </w:numPr>
        <w:ind w:firstLineChars="250" w:firstLine="803"/>
        <w:rPr>
          <w:rFonts w:ascii="黑体" w:eastAsia="黑体" w:hAnsi="黑体" w:cs="黑体"/>
          <w:b/>
          <w:sz w:val="32"/>
          <w:szCs w:val="32"/>
        </w:rPr>
      </w:pPr>
      <w:r>
        <w:rPr>
          <w:rFonts w:ascii="黑体" w:eastAsia="黑体" w:hAnsi="黑体" w:cs="黑体" w:hint="eastAsia"/>
          <w:b/>
          <w:sz w:val="32"/>
          <w:szCs w:val="32"/>
        </w:rPr>
        <w:t>部门预算单位构成：</w:t>
      </w:r>
    </w:p>
    <w:p w14:paraId="23DE16B7" w14:textId="77777777" w:rsidR="001B5865" w:rsidRDefault="00BF4863">
      <w:pPr>
        <w:ind w:firstLineChars="200" w:firstLine="640"/>
        <w:rPr>
          <w:rFonts w:ascii="仿宋" w:eastAsia="仿宋" w:hAnsi="仿宋" w:cs="仿宋"/>
          <w:sz w:val="32"/>
          <w:szCs w:val="32"/>
        </w:rPr>
      </w:pPr>
      <w:r>
        <w:rPr>
          <w:rFonts w:ascii="仿宋" w:eastAsia="仿宋" w:hAnsi="仿宋" w:cs="仿宋" w:hint="eastAsia"/>
          <w:sz w:val="32"/>
          <w:szCs w:val="32"/>
        </w:rPr>
        <w:t>丰宁满族自治县粮食局无下属单位，本次公开的预算包含丰宁满族自治县粮食局机关本级预算。</w:t>
      </w:r>
    </w:p>
    <w:p w14:paraId="1A1A2022" w14:textId="77777777" w:rsidR="001B5865" w:rsidRDefault="00BF4863">
      <w:pPr>
        <w:numPr>
          <w:ilvl w:val="0"/>
          <w:numId w:val="3"/>
        </w:numPr>
        <w:ind w:firstLine="640"/>
        <w:rPr>
          <w:rFonts w:ascii="黑体" w:eastAsia="黑体" w:hAnsi="黑体" w:cs="黑体"/>
          <w:b/>
          <w:bCs/>
          <w:sz w:val="32"/>
          <w:szCs w:val="32"/>
        </w:rPr>
      </w:pPr>
      <w:r>
        <w:rPr>
          <w:rFonts w:ascii="黑体" w:eastAsia="黑体" w:hAnsi="黑体" w:cs="黑体" w:hint="eastAsia"/>
          <w:b/>
          <w:bCs/>
          <w:sz w:val="32"/>
          <w:szCs w:val="32"/>
        </w:rPr>
        <w:lastRenderedPageBreak/>
        <w:t>部门预算安排的总体情况</w:t>
      </w:r>
    </w:p>
    <w:p w14:paraId="774F6DEC" w14:textId="77777777" w:rsidR="001B5865" w:rsidRDefault="00BF4863">
      <w:pPr>
        <w:ind w:firstLineChars="200" w:firstLine="640"/>
        <w:rPr>
          <w:rFonts w:ascii="仿宋" w:eastAsia="仿宋" w:hAnsi="仿宋" w:cs="仿宋"/>
          <w:sz w:val="32"/>
          <w:szCs w:val="32"/>
        </w:rPr>
      </w:pPr>
      <w:r>
        <w:rPr>
          <w:rFonts w:ascii="仿宋" w:eastAsia="仿宋" w:hAnsi="仿宋" w:cs="仿宋" w:hint="eastAsia"/>
          <w:sz w:val="32"/>
          <w:szCs w:val="32"/>
        </w:rPr>
        <w:t>按照预算管理有关规定，目前我县部门预算的编制实行综合预算制度，即全部收入和支出都反映在预算中。丰宁县</w:t>
      </w:r>
      <w:r>
        <w:rPr>
          <w:rFonts w:ascii="仿宋" w:eastAsia="仿宋" w:hAnsi="仿宋" w:cs="仿宋" w:hint="eastAsia"/>
          <w:sz w:val="32"/>
          <w:szCs w:val="32"/>
        </w:rPr>
        <w:t>满族自治县粮食局</w:t>
      </w:r>
      <w:r>
        <w:rPr>
          <w:rFonts w:ascii="仿宋" w:eastAsia="仿宋" w:hAnsi="仿宋" w:cs="仿宋" w:hint="eastAsia"/>
          <w:sz w:val="32"/>
          <w:szCs w:val="32"/>
        </w:rPr>
        <w:t>的收支包含在部门预算中。</w:t>
      </w:r>
    </w:p>
    <w:p w14:paraId="3D38F211" w14:textId="77777777" w:rsidR="001B5865" w:rsidRDefault="00BF4863">
      <w:pPr>
        <w:ind w:firstLine="640"/>
        <w:rPr>
          <w:rFonts w:ascii="仿宋" w:eastAsia="仿宋" w:hAnsi="仿宋" w:cs="仿宋"/>
          <w:b/>
          <w:bCs/>
          <w:sz w:val="32"/>
          <w:szCs w:val="32"/>
        </w:rPr>
      </w:pPr>
      <w:r>
        <w:rPr>
          <w:rFonts w:ascii="仿宋" w:eastAsia="仿宋" w:hAnsi="仿宋" w:cs="仿宋" w:hint="eastAsia"/>
          <w:b/>
          <w:bCs/>
          <w:sz w:val="32"/>
          <w:szCs w:val="32"/>
        </w:rPr>
        <w:t>（一）、收入说明</w:t>
      </w:r>
    </w:p>
    <w:p w14:paraId="4CAB4F6A" w14:textId="77777777" w:rsidR="001B5865" w:rsidRDefault="00BF4863">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年预算收入</w:t>
      </w:r>
      <w:r>
        <w:rPr>
          <w:rFonts w:ascii="仿宋" w:eastAsia="仿宋" w:hAnsi="仿宋" w:cs="仿宋" w:hint="eastAsia"/>
          <w:sz w:val="32"/>
          <w:szCs w:val="32"/>
        </w:rPr>
        <w:t>233.52</w:t>
      </w:r>
      <w:r>
        <w:rPr>
          <w:rFonts w:ascii="仿宋" w:eastAsia="仿宋" w:hAnsi="仿宋" w:cs="仿宋" w:hint="eastAsia"/>
          <w:sz w:val="32"/>
          <w:szCs w:val="32"/>
        </w:rPr>
        <w:t>万元，其中：一般公共预算收入</w:t>
      </w:r>
      <w:r>
        <w:rPr>
          <w:rFonts w:ascii="仿宋" w:eastAsia="仿宋" w:hAnsi="仿宋" w:cs="仿宋" w:hint="eastAsia"/>
          <w:sz w:val="32"/>
          <w:szCs w:val="32"/>
        </w:rPr>
        <w:t>233.52</w:t>
      </w:r>
      <w:r>
        <w:rPr>
          <w:rFonts w:ascii="仿宋" w:eastAsia="仿宋" w:hAnsi="仿宋" w:cs="仿宋" w:hint="eastAsia"/>
          <w:sz w:val="32"/>
          <w:szCs w:val="32"/>
        </w:rPr>
        <w:t>万元，基金预算收入</w:t>
      </w:r>
      <w:r>
        <w:rPr>
          <w:rFonts w:ascii="仿宋" w:eastAsia="仿宋" w:hAnsi="仿宋" w:cs="仿宋" w:hint="eastAsia"/>
          <w:sz w:val="32"/>
          <w:szCs w:val="32"/>
        </w:rPr>
        <w:t>0</w:t>
      </w:r>
      <w:r>
        <w:rPr>
          <w:rFonts w:ascii="仿宋" w:eastAsia="仿宋" w:hAnsi="仿宋" w:cs="仿宋" w:hint="eastAsia"/>
          <w:sz w:val="32"/>
          <w:szCs w:val="32"/>
        </w:rPr>
        <w:t>万元，其他来源收入</w:t>
      </w:r>
      <w:r>
        <w:rPr>
          <w:rFonts w:ascii="仿宋" w:eastAsia="仿宋" w:hAnsi="仿宋" w:cs="仿宋" w:hint="eastAsia"/>
          <w:sz w:val="32"/>
          <w:szCs w:val="32"/>
        </w:rPr>
        <w:t>0</w:t>
      </w:r>
      <w:r>
        <w:rPr>
          <w:rFonts w:ascii="仿宋" w:eastAsia="仿宋" w:hAnsi="仿宋" w:cs="仿宋" w:hint="eastAsia"/>
          <w:sz w:val="32"/>
          <w:szCs w:val="32"/>
        </w:rPr>
        <w:t>万元。</w:t>
      </w:r>
    </w:p>
    <w:p w14:paraId="63127C28" w14:textId="77777777" w:rsidR="001B5865" w:rsidRDefault="00BF4863">
      <w:pPr>
        <w:ind w:firstLine="640"/>
        <w:rPr>
          <w:rFonts w:ascii="仿宋" w:eastAsia="仿宋" w:hAnsi="仿宋" w:cs="仿宋"/>
          <w:b/>
          <w:bCs/>
          <w:sz w:val="32"/>
          <w:szCs w:val="32"/>
        </w:rPr>
      </w:pPr>
      <w:r>
        <w:rPr>
          <w:rFonts w:ascii="仿宋" w:eastAsia="仿宋" w:hAnsi="仿宋" w:cs="仿宋" w:hint="eastAsia"/>
          <w:b/>
          <w:bCs/>
          <w:sz w:val="32"/>
          <w:szCs w:val="32"/>
        </w:rPr>
        <w:t>（二）、支出说明</w:t>
      </w:r>
    </w:p>
    <w:p w14:paraId="573204E3" w14:textId="77777777" w:rsidR="001B5865" w:rsidRDefault="00BF4863">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年支出预算</w:t>
      </w:r>
      <w:r>
        <w:rPr>
          <w:rFonts w:ascii="仿宋" w:eastAsia="仿宋" w:hAnsi="仿宋" w:cs="仿宋" w:hint="eastAsia"/>
          <w:sz w:val="32"/>
          <w:szCs w:val="32"/>
        </w:rPr>
        <w:t>233.52</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rPr>
        <w:t>170.52</w:t>
      </w:r>
      <w:r>
        <w:rPr>
          <w:rFonts w:ascii="仿宋" w:eastAsia="仿宋" w:hAnsi="仿宋" w:cs="仿宋" w:hint="eastAsia"/>
          <w:sz w:val="32"/>
          <w:szCs w:val="32"/>
        </w:rPr>
        <w:t>万元，包括人员经费</w:t>
      </w:r>
      <w:r>
        <w:rPr>
          <w:rFonts w:ascii="仿宋" w:eastAsia="仿宋" w:hAnsi="仿宋" w:cs="仿宋" w:hint="eastAsia"/>
          <w:sz w:val="32"/>
          <w:szCs w:val="32"/>
        </w:rPr>
        <w:t>157.37</w:t>
      </w:r>
      <w:r>
        <w:rPr>
          <w:rFonts w:ascii="仿宋" w:eastAsia="仿宋" w:hAnsi="仿宋" w:cs="仿宋" w:hint="eastAsia"/>
          <w:sz w:val="32"/>
          <w:szCs w:val="32"/>
        </w:rPr>
        <w:t>万元和日常公用经费</w:t>
      </w:r>
      <w:r>
        <w:rPr>
          <w:rFonts w:ascii="仿宋" w:eastAsia="仿宋" w:hAnsi="仿宋" w:cs="仿宋" w:hint="eastAsia"/>
          <w:sz w:val="32"/>
          <w:szCs w:val="32"/>
        </w:rPr>
        <w:t>13.15</w:t>
      </w:r>
      <w:r>
        <w:rPr>
          <w:rFonts w:ascii="仿宋" w:eastAsia="仿宋" w:hAnsi="仿宋" w:cs="仿宋" w:hint="eastAsia"/>
          <w:sz w:val="32"/>
          <w:szCs w:val="32"/>
        </w:rPr>
        <w:t>万元；项目支出</w:t>
      </w:r>
      <w:r>
        <w:rPr>
          <w:rFonts w:ascii="仿宋" w:eastAsia="仿宋" w:hAnsi="仿宋" w:cs="仿宋" w:hint="eastAsia"/>
          <w:sz w:val="32"/>
          <w:szCs w:val="32"/>
        </w:rPr>
        <w:t>63</w:t>
      </w:r>
      <w:r>
        <w:rPr>
          <w:rFonts w:ascii="仿宋" w:eastAsia="仿宋" w:hAnsi="仿宋" w:cs="仿宋" w:hint="eastAsia"/>
          <w:sz w:val="32"/>
          <w:szCs w:val="32"/>
        </w:rPr>
        <w:t>万元，其中本级支出</w:t>
      </w:r>
      <w:r>
        <w:rPr>
          <w:rFonts w:ascii="仿宋" w:eastAsia="仿宋" w:hAnsi="仿宋" w:cs="仿宋" w:hint="eastAsia"/>
          <w:sz w:val="32"/>
          <w:szCs w:val="32"/>
        </w:rPr>
        <w:t>63</w:t>
      </w:r>
      <w:r>
        <w:rPr>
          <w:rFonts w:ascii="仿宋" w:eastAsia="仿宋" w:hAnsi="仿宋" w:cs="仿宋" w:hint="eastAsia"/>
          <w:sz w:val="32"/>
          <w:szCs w:val="32"/>
        </w:rPr>
        <w:t>万元，对下补助</w:t>
      </w:r>
      <w:r>
        <w:rPr>
          <w:rFonts w:ascii="仿宋" w:eastAsia="仿宋" w:hAnsi="仿宋" w:cs="仿宋" w:hint="eastAsia"/>
          <w:sz w:val="32"/>
          <w:szCs w:val="32"/>
        </w:rPr>
        <w:t>0</w:t>
      </w:r>
      <w:r>
        <w:rPr>
          <w:rFonts w:ascii="仿宋" w:eastAsia="仿宋" w:hAnsi="仿宋" w:cs="仿宋" w:hint="eastAsia"/>
          <w:sz w:val="32"/>
          <w:szCs w:val="32"/>
        </w:rPr>
        <w:t>万元，主要为</w:t>
      </w:r>
      <w:r>
        <w:rPr>
          <w:rFonts w:ascii="仿宋" w:eastAsia="仿宋" w:hAnsi="仿宋" w:cs="仿宋" w:hint="eastAsia"/>
          <w:sz w:val="32"/>
          <w:szCs w:val="32"/>
        </w:rPr>
        <w:t>粮食风险基金</w:t>
      </w:r>
      <w:r>
        <w:rPr>
          <w:rFonts w:ascii="仿宋" w:eastAsia="仿宋" w:hAnsi="仿宋" w:cs="仿宋" w:hint="eastAsia"/>
          <w:sz w:val="32"/>
          <w:szCs w:val="32"/>
        </w:rPr>
        <w:t>45</w:t>
      </w:r>
      <w:r>
        <w:rPr>
          <w:rFonts w:ascii="仿宋" w:eastAsia="仿宋" w:hAnsi="仿宋" w:cs="仿宋" w:hint="eastAsia"/>
          <w:sz w:val="32"/>
          <w:szCs w:val="32"/>
        </w:rPr>
        <w:t>万元</w:t>
      </w:r>
      <w:r>
        <w:rPr>
          <w:rFonts w:ascii="仿宋" w:eastAsia="仿宋" w:hAnsi="仿宋" w:cs="仿宋" w:hint="eastAsia"/>
          <w:sz w:val="32"/>
          <w:szCs w:val="32"/>
        </w:rPr>
        <w:t>；其他支出</w:t>
      </w:r>
      <w:r>
        <w:rPr>
          <w:rFonts w:ascii="仿宋" w:eastAsia="仿宋" w:hAnsi="仿宋" w:cs="仿宋" w:hint="eastAsia"/>
          <w:sz w:val="32"/>
          <w:szCs w:val="32"/>
        </w:rPr>
        <w:t>18</w:t>
      </w:r>
      <w:r>
        <w:rPr>
          <w:rFonts w:ascii="仿宋" w:eastAsia="仿宋" w:hAnsi="仿宋" w:cs="仿宋" w:hint="eastAsia"/>
          <w:sz w:val="32"/>
          <w:szCs w:val="32"/>
        </w:rPr>
        <w:t>万元。</w:t>
      </w:r>
    </w:p>
    <w:p w14:paraId="34F26A0F" w14:textId="77777777" w:rsidR="001B5865" w:rsidRDefault="00BF4863">
      <w:pPr>
        <w:ind w:firstLineChars="100" w:firstLine="321"/>
        <w:rPr>
          <w:rFonts w:ascii="仿宋" w:eastAsia="仿宋" w:hAnsi="仿宋" w:cs="仿宋"/>
          <w:b/>
          <w:bCs/>
          <w:color w:val="00B050"/>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、比上年增减情况</w:t>
      </w:r>
    </w:p>
    <w:p w14:paraId="52DB8303" w14:textId="77777777" w:rsidR="001B5865" w:rsidRDefault="00BF4863">
      <w:pPr>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年预算收支安排</w:t>
      </w:r>
      <w:r>
        <w:rPr>
          <w:rFonts w:ascii="仿宋" w:eastAsia="仿宋" w:hAnsi="仿宋" w:cs="仿宋" w:hint="eastAsia"/>
          <w:sz w:val="32"/>
          <w:szCs w:val="32"/>
        </w:rPr>
        <w:t>233.52</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年预算</w:t>
      </w:r>
      <w:r>
        <w:rPr>
          <w:rFonts w:ascii="仿宋" w:eastAsia="仿宋" w:hAnsi="仿宋" w:cs="仿宋" w:hint="eastAsia"/>
          <w:sz w:val="32"/>
          <w:szCs w:val="32"/>
        </w:rPr>
        <w:t>减少</w:t>
      </w:r>
      <w:r>
        <w:rPr>
          <w:rFonts w:ascii="仿宋" w:eastAsia="仿宋" w:hAnsi="仿宋" w:cs="仿宋" w:hint="eastAsia"/>
          <w:sz w:val="32"/>
          <w:szCs w:val="32"/>
        </w:rPr>
        <w:t>2.44</w:t>
      </w:r>
      <w:r>
        <w:rPr>
          <w:rFonts w:ascii="仿宋" w:eastAsia="仿宋" w:hAnsi="仿宋" w:cs="仿宋" w:hint="eastAsia"/>
          <w:sz w:val="32"/>
          <w:szCs w:val="32"/>
        </w:rPr>
        <w:t>万元，其中：基本支出增加</w:t>
      </w:r>
      <w:r>
        <w:rPr>
          <w:rFonts w:ascii="仿宋" w:eastAsia="仿宋" w:hAnsi="仿宋" w:cs="仿宋" w:hint="eastAsia"/>
          <w:sz w:val="32"/>
          <w:szCs w:val="32"/>
        </w:rPr>
        <w:t>4.56</w:t>
      </w:r>
      <w:r>
        <w:rPr>
          <w:rFonts w:ascii="仿宋" w:eastAsia="仿宋" w:hAnsi="仿宋" w:cs="仿宋" w:hint="eastAsia"/>
          <w:sz w:val="32"/>
          <w:szCs w:val="32"/>
        </w:rPr>
        <w:t>万元，主要为</w:t>
      </w:r>
      <w:r>
        <w:rPr>
          <w:rFonts w:ascii="仿宋" w:eastAsia="仿宋" w:hAnsi="仿宋" w:cs="仿宋" w:hint="eastAsia"/>
          <w:sz w:val="32"/>
          <w:szCs w:val="32"/>
        </w:rPr>
        <w:t>人员支出增加</w:t>
      </w:r>
      <w:r>
        <w:rPr>
          <w:rFonts w:ascii="仿宋" w:eastAsia="仿宋" w:hAnsi="仿宋" w:cs="仿宋" w:hint="eastAsia"/>
          <w:sz w:val="32"/>
          <w:szCs w:val="32"/>
        </w:rPr>
        <w:t>；项目支出较</w:t>
      </w:r>
      <w:r>
        <w:rPr>
          <w:rFonts w:ascii="仿宋" w:eastAsia="仿宋" w:hAnsi="仿宋" w:cs="仿宋" w:hint="eastAsia"/>
          <w:sz w:val="32"/>
          <w:szCs w:val="32"/>
        </w:rPr>
        <w:t>2020</w:t>
      </w:r>
      <w:r>
        <w:rPr>
          <w:rFonts w:ascii="仿宋" w:eastAsia="仿宋" w:hAnsi="仿宋" w:cs="仿宋" w:hint="eastAsia"/>
          <w:sz w:val="32"/>
          <w:szCs w:val="32"/>
        </w:rPr>
        <w:t>年实际安排减少</w:t>
      </w:r>
      <w:r>
        <w:rPr>
          <w:rFonts w:ascii="仿宋" w:eastAsia="仿宋" w:hAnsi="仿宋" w:cs="仿宋" w:hint="eastAsia"/>
          <w:sz w:val="32"/>
          <w:szCs w:val="32"/>
        </w:rPr>
        <w:t>7</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主要是压缩项目支出</w:t>
      </w:r>
      <w:r>
        <w:rPr>
          <w:rFonts w:ascii="仿宋" w:eastAsia="仿宋" w:hAnsi="仿宋" w:cs="仿宋" w:hint="eastAsia"/>
          <w:sz w:val="32"/>
          <w:szCs w:val="32"/>
        </w:rPr>
        <w:t>10%</w:t>
      </w:r>
      <w:r>
        <w:rPr>
          <w:rFonts w:ascii="仿宋" w:eastAsia="仿宋" w:hAnsi="仿宋" w:cs="仿宋" w:hint="eastAsia"/>
          <w:sz w:val="32"/>
          <w:szCs w:val="32"/>
        </w:rPr>
        <w:t>。</w:t>
      </w:r>
    </w:p>
    <w:p w14:paraId="4A3DE175" w14:textId="77777777" w:rsidR="001B5865" w:rsidRDefault="00BF4863">
      <w:pPr>
        <w:numPr>
          <w:ilvl w:val="0"/>
          <w:numId w:val="4"/>
        </w:numPr>
        <w:ind w:firstLine="640"/>
        <w:rPr>
          <w:rFonts w:ascii="黑体" w:eastAsia="黑体" w:hAnsi="黑体" w:cs="黑体"/>
          <w:b/>
          <w:bCs/>
          <w:sz w:val="32"/>
          <w:szCs w:val="32"/>
        </w:rPr>
      </w:pPr>
      <w:r>
        <w:rPr>
          <w:rFonts w:ascii="黑体" w:eastAsia="黑体" w:hAnsi="黑体" w:cs="黑体" w:hint="eastAsia"/>
          <w:b/>
          <w:bCs/>
          <w:sz w:val="32"/>
          <w:szCs w:val="32"/>
        </w:rPr>
        <w:t>机关运行经费安排情况</w:t>
      </w:r>
    </w:p>
    <w:p w14:paraId="42FF1767" w14:textId="77777777" w:rsidR="001B5865" w:rsidRDefault="00BF4863">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年，我单位机关运行经费共计安排</w:t>
      </w:r>
      <w:r>
        <w:rPr>
          <w:rFonts w:ascii="仿宋" w:eastAsia="仿宋" w:hAnsi="仿宋" w:cs="仿宋" w:hint="eastAsia"/>
          <w:sz w:val="32"/>
          <w:szCs w:val="32"/>
        </w:rPr>
        <w:t>13.15</w:t>
      </w:r>
      <w:r>
        <w:rPr>
          <w:rFonts w:ascii="仿宋" w:eastAsia="仿宋" w:hAnsi="仿宋" w:cs="仿宋" w:hint="eastAsia"/>
          <w:sz w:val="32"/>
          <w:szCs w:val="32"/>
        </w:rPr>
        <w:t>万元，主要用于办公费</w:t>
      </w:r>
      <w:r>
        <w:rPr>
          <w:rFonts w:ascii="仿宋" w:eastAsia="仿宋" w:hAnsi="仿宋" w:cs="仿宋" w:hint="eastAsia"/>
          <w:sz w:val="32"/>
          <w:szCs w:val="32"/>
        </w:rPr>
        <w:t>1</w:t>
      </w:r>
      <w:r>
        <w:rPr>
          <w:rFonts w:ascii="仿宋" w:eastAsia="仿宋" w:hAnsi="仿宋" w:cs="仿宋" w:hint="eastAsia"/>
          <w:sz w:val="32"/>
          <w:szCs w:val="32"/>
        </w:rPr>
        <w:t>万元、邮电费</w:t>
      </w:r>
      <w:r>
        <w:rPr>
          <w:rFonts w:ascii="仿宋" w:eastAsia="仿宋" w:hAnsi="仿宋" w:cs="仿宋" w:hint="eastAsia"/>
          <w:sz w:val="32"/>
          <w:szCs w:val="32"/>
        </w:rPr>
        <w:t>1.92</w:t>
      </w:r>
      <w:r>
        <w:rPr>
          <w:rFonts w:ascii="仿宋" w:eastAsia="仿宋" w:hAnsi="仿宋" w:cs="仿宋" w:hint="eastAsia"/>
          <w:sz w:val="32"/>
          <w:szCs w:val="32"/>
        </w:rPr>
        <w:t>万元、差旅费</w:t>
      </w:r>
      <w:r>
        <w:rPr>
          <w:rFonts w:ascii="仿宋" w:eastAsia="仿宋" w:hAnsi="仿宋" w:cs="仿宋" w:hint="eastAsia"/>
          <w:sz w:val="32"/>
          <w:szCs w:val="32"/>
        </w:rPr>
        <w:t>0.8</w:t>
      </w:r>
      <w:r>
        <w:rPr>
          <w:rFonts w:ascii="仿宋" w:eastAsia="仿宋" w:hAnsi="仿宋" w:cs="仿宋" w:hint="eastAsia"/>
          <w:sz w:val="32"/>
          <w:szCs w:val="32"/>
        </w:rPr>
        <w:t>万元、公务接待费</w:t>
      </w:r>
      <w:r>
        <w:rPr>
          <w:rFonts w:ascii="仿宋" w:eastAsia="仿宋" w:hAnsi="仿宋" w:cs="仿宋" w:hint="eastAsia"/>
          <w:sz w:val="32"/>
          <w:szCs w:val="32"/>
        </w:rPr>
        <w:t>0.1</w:t>
      </w:r>
      <w:r>
        <w:rPr>
          <w:rFonts w:ascii="仿宋" w:eastAsia="仿宋" w:hAnsi="仿宋" w:cs="仿宋" w:hint="eastAsia"/>
          <w:sz w:val="32"/>
          <w:szCs w:val="32"/>
        </w:rPr>
        <w:t>万元、</w:t>
      </w:r>
      <w:r>
        <w:rPr>
          <w:rFonts w:ascii="仿宋" w:eastAsia="仿宋" w:hAnsi="仿宋" w:cs="仿宋" w:hint="eastAsia"/>
          <w:sz w:val="32"/>
          <w:szCs w:val="32"/>
        </w:rPr>
        <w:t>公务交通补贴</w:t>
      </w:r>
      <w:r>
        <w:rPr>
          <w:rFonts w:ascii="仿宋" w:eastAsia="仿宋" w:hAnsi="仿宋" w:cs="仿宋" w:hint="eastAsia"/>
          <w:sz w:val="32"/>
          <w:szCs w:val="32"/>
        </w:rPr>
        <w:t>2.64</w:t>
      </w:r>
      <w:r>
        <w:rPr>
          <w:rFonts w:ascii="仿宋" w:eastAsia="仿宋" w:hAnsi="仿宋" w:cs="仿宋" w:hint="eastAsia"/>
          <w:sz w:val="32"/>
          <w:szCs w:val="32"/>
        </w:rPr>
        <w:t>万元、</w:t>
      </w:r>
      <w:r>
        <w:rPr>
          <w:rFonts w:ascii="仿宋" w:eastAsia="仿宋" w:hAnsi="仿宋" w:cs="仿宋" w:hint="eastAsia"/>
          <w:sz w:val="32"/>
          <w:szCs w:val="32"/>
        </w:rPr>
        <w:t>工会经费</w:t>
      </w:r>
      <w:r>
        <w:rPr>
          <w:rFonts w:ascii="仿宋" w:eastAsia="仿宋" w:hAnsi="仿宋" w:cs="仿宋" w:hint="eastAsia"/>
          <w:sz w:val="32"/>
          <w:szCs w:val="32"/>
        </w:rPr>
        <w:t>1.98</w:t>
      </w:r>
      <w:r>
        <w:rPr>
          <w:rFonts w:ascii="仿宋" w:eastAsia="仿宋" w:hAnsi="仿宋" w:cs="仿宋" w:hint="eastAsia"/>
          <w:sz w:val="32"/>
          <w:szCs w:val="32"/>
        </w:rPr>
        <w:t>万元、福利费</w:t>
      </w:r>
      <w:r>
        <w:rPr>
          <w:rFonts w:ascii="仿宋" w:eastAsia="仿宋" w:hAnsi="仿宋" w:cs="仿宋" w:hint="eastAsia"/>
          <w:sz w:val="32"/>
          <w:szCs w:val="32"/>
        </w:rPr>
        <w:t>3.81</w:t>
      </w:r>
      <w:r>
        <w:rPr>
          <w:rFonts w:ascii="仿宋" w:eastAsia="仿宋" w:hAnsi="仿宋" w:cs="仿宋" w:hint="eastAsia"/>
          <w:sz w:val="32"/>
          <w:szCs w:val="32"/>
        </w:rPr>
        <w:t>万元、公务用车运行维护费</w:t>
      </w:r>
      <w:r>
        <w:rPr>
          <w:rFonts w:ascii="仿宋" w:eastAsia="仿宋" w:hAnsi="仿宋" w:cs="仿宋" w:hint="eastAsia"/>
          <w:sz w:val="32"/>
          <w:szCs w:val="32"/>
        </w:rPr>
        <w:t>0.9</w:t>
      </w:r>
      <w:r>
        <w:rPr>
          <w:rFonts w:ascii="仿宋" w:eastAsia="仿宋" w:hAnsi="仿宋" w:cs="仿宋" w:hint="eastAsia"/>
          <w:sz w:val="32"/>
          <w:szCs w:val="32"/>
        </w:rPr>
        <w:t>万元。</w:t>
      </w:r>
    </w:p>
    <w:p w14:paraId="4F319259" w14:textId="77777777" w:rsidR="001B5865" w:rsidRDefault="00BF4863">
      <w:pPr>
        <w:tabs>
          <w:tab w:val="left" w:pos="11490"/>
        </w:tabs>
        <w:ind w:firstLineChars="200" w:firstLine="643"/>
        <w:rPr>
          <w:rFonts w:ascii="仿宋" w:eastAsia="仿宋" w:hAnsi="仿宋" w:cs="仿宋"/>
          <w:color w:val="00B050"/>
          <w:sz w:val="32"/>
          <w:szCs w:val="32"/>
        </w:rPr>
      </w:pPr>
      <w:r>
        <w:rPr>
          <w:rFonts w:ascii="黑体" w:eastAsia="黑体" w:hAnsi="黑体" w:cs="黑体" w:hint="eastAsia"/>
          <w:b/>
          <w:bCs/>
          <w:sz w:val="32"/>
          <w:szCs w:val="32"/>
        </w:rPr>
        <w:t>四、财政拨款“三公”经费预算情况及增减变化原因</w:t>
      </w:r>
    </w:p>
    <w:p w14:paraId="3BC8488F" w14:textId="77777777" w:rsidR="001B5865" w:rsidRDefault="00BF4863">
      <w:pPr>
        <w:spacing w:line="500" w:lineRule="exact"/>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rPr>
        <w:lastRenderedPageBreak/>
        <w:t>2021</w:t>
      </w:r>
      <w:r>
        <w:rPr>
          <w:rFonts w:ascii="仿宋" w:eastAsia="仿宋" w:hAnsi="仿宋" w:hint="eastAsia"/>
          <w:color w:val="000000" w:themeColor="text1"/>
          <w:sz w:val="32"/>
          <w:szCs w:val="32"/>
        </w:rPr>
        <w:t>年政府办</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“三公”经费公共预算财政拨款预算</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与</w:t>
      </w:r>
      <w:r>
        <w:rPr>
          <w:rFonts w:ascii="仿宋" w:eastAsia="仿宋" w:hAnsi="仿宋" w:hint="eastAsia"/>
          <w:color w:val="000000" w:themeColor="text1"/>
          <w:sz w:val="32"/>
          <w:szCs w:val="32"/>
        </w:rPr>
        <w:t>上年</w:t>
      </w:r>
      <w:r>
        <w:rPr>
          <w:rFonts w:ascii="仿宋" w:eastAsia="仿宋" w:hAnsi="仿宋" w:hint="eastAsia"/>
          <w:color w:val="000000" w:themeColor="text1"/>
          <w:sz w:val="32"/>
          <w:szCs w:val="32"/>
        </w:rPr>
        <w:t>相同。</w:t>
      </w:r>
    </w:p>
    <w:p w14:paraId="0D9462D4"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具体支出情况如下：</w:t>
      </w:r>
    </w:p>
    <w:p w14:paraId="10A0206E" w14:textId="77777777" w:rsidR="001B5865" w:rsidRDefault="00BF4863">
      <w:pPr>
        <w:numPr>
          <w:ilvl w:val="0"/>
          <w:numId w:val="5"/>
        </w:num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因公出国（境）费</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万元，同比无增减变化。</w:t>
      </w:r>
    </w:p>
    <w:p w14:paraId="6A08E563" w14:textId="77777777" w:rsidR="001B5865" w:rsidRDefault="00BF4863">
      <w:pPr>
        <w:numPr>
          <w:ilvl w:val="0"/>
          <w:numId w:val="5"/>
        </w:num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公务用车购置及运行维护费</w:t>
      </w:r>
      <w:r>
        <w:rPr>
          <w:rFonts w:ascii="仿宋" w:eastAsia="仿宋" w:hAnsi="仿宋" w:hint="eastAsia"/>
          <w:color w:val="000000" w:themeColor="text1"/>
          <w:sz w:val="32"/>
          <w:szCs w:val="32"/>
        </w:rPr>
        <w:t>0.9</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与上</w:t>
      </w:r>
      <w:r>
        <w:rPr>
          <w:rFonts w:ascii="仿宋" w:eastAsia="仿宋" w:hAnsi="仿宋" w:hint="eastAsia"/>
          <w:color w:val="000000" w:themeColor="text1"/>
          <w:sz w:val="32"/>
          <w:szCs w:val="32"/>
        </w:rPr>
        <w:t>同</w:t>
      </w:r>
      <w:r>
        <w:rPr>
          <w:rFonts w:ascii="仿宋" w:eastAsia="仿宋" w:hAnsi="仿宋" w:hint="eastAsia"/>
          <w:color w:val="000000" w:themeColor="text1"/>
          <w:sz w:val="32"/>
          <w:szCs w:val="32"/>
        </w:rPr>
        <w:t>相同。</w:t>
      </w:r>
    </w:p>
    <w:p w14:paraId="72550777" w14:textId="77777777" w:rsidR="001B5865" w:rsidRDefault="00BF4863">
      <w:pPr>
        <w:numPr>
          <w:ilvl w:val="0"/>
          <w:numId w:val="6"/>
        </w:numPr>
        <w:spacing w:line="500" w:lineRule="exact"/>
        <w:ind w:firstLineChars="400" w:firstLine="1280"/>
        <w:rPr>
          <w:rFonts w:ascii="仿宋" w:eastAsia="仿宋" w:hAnsi="仿宋"/>
          <w:color w:val="000000" w:themeColor="text1"/>
          <w:sz w:val="32"/>
          <w:szCs w:val="32"/>
        </w:rPr>
      </w:pPr>
      <w:r>
        <w:rPr>
          <w:rFonts w:ascii="仿宋" w:eastAsia="仿宋" w:hAnsi="仿宋" w:hint="eastAsia"/>
          <w:color w:val="000000" w:themeColor="text1"/>
          <w:sz w:val="32"/>
          <w:szCs w:val="32"/>
        </w:rPr>
        <w:t>公务用车购置</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w:t>
      </w:r>
    </w:p>
    <w:p w14:paraId="430C4DC7" w14:textId="77777777" w:rsidR="001B5865" w:rsidRDefault="00BF4863">
      <w:pPr>
        <w:numPr>
          <w:ilvl w:val="0"/>
          <w:numId w:val="6"/>
        </w:numPr>
        <w:spacing w:line="500" w:lineRule="exact"/>
        <w:ind w:firstLineChars="400" w:firstLine="1280"/>
        <w:rPr>
          <w:rFonts w:ascii="仿宋" w:eastAsia="仿宋" w:hAnsi="仿宋"/>
          <w:color w:val="000000" w:themeColor="text1"/>
          <w:sz w:val="32"/>
          <w:szCs w:val="32"/>
        </w:rPr>
      </w:pPr>
      <w:r>
        <w:rPr>
          <w:rFonts w:ascii="仿宋" w:eastAsia="仿宋" w:hAnsi="仿宋" w:hint="eastAsia"/>
          <w:color w:val="000000" w:themeColor="text1"/>
          <w:sz w:val="32"/>
          <w:szCs w:val="32"/>
        </w:rPr>
        <w:t>公务用车运行维护费</w:t>
      </w:r>
      <w:r>
        <w:rPr>
          <w:rFonts w:ascii="仿宋" w:eastAsia="仿宋" w:hAnsi="仿宋" w:hint="eastAsia"/>
          <w:color w:val="000000" w:themeColor="text1"/>
          <w:sz w:val="32"/>
          <w:szCs w:val="32"/>
        </w:rPr>
        <w:t>0.9</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与上</w:t>
      </w:r>
      <w:r>
        <w:rPr>
          <w:rFonts w:ascii="仿宋" w:eastAsia="仿宋" w:hAnsi="仿宋" w:hint="eastAsia"/>
          <w:color w:val="000000" w:themeColor="text1"/>
          <w:sz w:val="32"/>
          <w:szCs w:val="32"/>
        </w:rPr>
        <w:t>同</w:t>
      </w:r>
      <w:r>
        <w:rPr>
          <w:rFonts w:ascii="仿宋" w:eastAsia="仿宋" w:hAnsi="仿宋" w:hint="eastAsia"/>
          <w:color w:val="000000" w:themeColor="text1"/>
          <w:sz w:val="32"/>
          <w:szCs w:val="32"/>
        </w:rPr>
        <w:t>相同。</w:t>
      </w:r>
    </w:p>
    <w:p w14:paraId="4A109459" w14:textId="77777777" w:rsidR="001B5865" w:rsidRDefault="00BF4863">
      <w:pPr>
        <w:numPr>
          <w:ilvl w:val="0"/>
          <w:numId w:val="5"/>
        </w:num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公务接待费</w:t>
      </w:r>
      <w:r>
        <w:rPr>
          <w:rFonts w:ascii="仿宋" w:eastAsia="仿宋" w:hAnsi="仿宋" w:hint="eastAsia"/>
          <w:color w:val="000000" w:themeColor="text1"/>
          <w:sz w:val="32"/>
          <w:szCs w:val="32"/>
        </w:rPr>
        <w:t>0.1</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与上年相同。</w:t>
      </w:r>
    </w:p>
    <w:p w14:paraId="7917F7FD" w14:textId="77777777" w:rsidR="001B5865" w:rsidRDefault="00BF4863">
      <w:pPr>
        <w:tabs>
          <w:tab w:val="left" w:pos="11490"/>
        </w:tabs>
        <w:ind w:firstLineChars="200" w:firstLine="643"/>
        <w:rPr>
          <w:rFonts w:ascii="仿宋" w:eastAsia="仿宋" w:hAnsi="仿宋" w:cs="仿宋"/>
          <w:b/>
          <w:bCs/>
          <w:color w:val="00B050"/>
          <w:sz w:val="32"/>
          <w:szCs w:val="32"/>
        </w:rPr>
      </w:pPr>
      <w:r>
        <w:rPr>
          <w:rFonts w:ascii="黑体" w:eastAsia="黑体" w:hAnsi="黑体" w:cs="黑体" w:hint="eastAsia"/>
          <w:b/>
          <w:bCs/>
          <w:sz w:val="32"/>
          <w:szCs w:val="32"/>
        </w:rPr>
        <w:t>五、绩效预算信息</w:t>
      </w:r>
    </w:p>
    <w:p w14:paraId="2791A710" w14:textId="77777777" w:rsidR="001B5865" w:rsidRDefault="00BF4863">
      <w:pPr>
        <w:spacing w:line="500" w:lineRule="exact"/>
        <w:ind w:firstLineChars="200" w:firstLine="643"/>
        <w:jc w:val="left"/>
        <w:rPr>
          <w:rFonts w:eastAsia="方正仿宋_GBK"/>
          <w:sz w:val="28"/>
        </w:rPr>
      </w:pPr>
      <w:r>
        <w:rPr>
          <w:rFonts w:ascii="黑体" w:eastAsia="黑体" w:hAnsi="黑体" w:cs="黑体" w:hint="eastAsia"/>
          <w:b/>
          <w:sz w:val="32"/>
          <w:szCs w:val="32"/>
        </w:rPr>
        <w:t>（一）总体绩效目标：</w:t>
      </w:r>
    </w:p>
    <w:p w14:paraId="19C2D7EC"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全力推进资产整合，抓好重点项目建设。按照科学规范、布局合理，立足长远、促进发展的原则，对全县的现有国有粮食资产进行规划，积极争取国家配套资金，对全县国有粮食企业危仓老库进行维修改造，全面提升国有粮食部门实力。重点抓好平安堡、南关的资产开发利用，最大限度的提高资产的使用效率。</w:t>
      </w:r>
    </w:p>
    <w:p w14:paraId="62E23AAB"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落实粮食安全首长负责制，加强宏观调控职能，建立健全粮食储备应急机制。要切实发挥国有粮食部门的宏观调控职能，保障粮食安全，维护社会稳定，全面建立健全粮食储备应急工作机制，继续加强与国有大型企业的合作关系，多方引进资金，切实发挥好社会粮食经纪人作用，搞活粮食流通，全力抓好粮食收购，保护种粮农民的利益</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，促进全县粮食生产。</w:t>
      </w:r>
    </w:p>
    <w:p w14:paraId="1BF1AC55"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强化粮食流通监管，维护社会粮食流通秩序。进一步规范社会粮食流通秩序，加强政策宣传，理顺社会粮食流通关系，严格监管措施，确保全县粮食流通规范有序，市场繁荣，社会稳定。</w:t>
      </w:r>
    </w:p>
    <w:p w14:paraId="216CF62C" w14:textId="77777777" w:rsidR="001B5865" w:rsidRDefault="00BF4863">
      <w:pPr>
        <w:spacing w:line="50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（二）</w:t>
      </w:r>
      <w:r>
        <w:rPr>
          <w:rFonts w:ascii="黑体" w:eastAsia="黑体" w:hAnsi="黑体" w:cs="黑体" w:hint="eastAsia"/>
          <w:b/>
          <w:sz w:val="32"/>
          <w:szCs w:val="32"/>
        </w:rPr>
        <w:t>分项</w:t>
      </w:r>
      <w:r>
        <w:rPr>
          <w:rFonts w:ascii="黑体" w:eastAsia="黑体" w:hAnsi="黑体" w:cs="黑体" w:hint="eastAsia"/>
          <w:b/>
          <w:sz w:val="32"/>
          <w:szCs w:val="32"/>
        </w:rPr>
        <w:t>绩效目标：</w:t>
      </w:r>
    </w:p>
    <w:p w14:paraId="6C2CBFC9"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、粮食调控管理绩效目标：落实粮食购销政策，保证军粮供应等政策性粮食供应工作，负责县储粮食行政管理，确保粮食流通规范有</w:t>
      </w:r>
      <w:r>
        <w:rPr>
          <w:rFonts w:ascii="仿宋" w:eastAsia="仿宋" w:hAnsi="仿宋" w:hint="eastAsia"/>
          <w:color w:val="000000" w:themeColor="text1"/>
          <w:sz w:val="32"/>
          <w:szCs w:val="32"/>
        </w:rPr>
        <w:lastRenderedPageBreak/>
        <w:t>序。确保粮食产、购、销、存、加等数据以及仓储设施、国有资产、经济效益等宏观信息及时上报、汇总，保证数据信息全面、完整、正确、及时。</w:t>
      </w:r>
    </w:p>
    <w:p w14:paraId="0BC67F01"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粮食质量安全监管绩效目标：指导全县粮食储存保管及安全生产，负责对粮食收购、储存环节的粮食质量安全和卫生安全进行监督管理。及时掌握收获、收购、储存、政策性粮食质量安全和品质情况，为落实粮食收购政策提供依据，确保用粮安全；掌握重点企业、骨干企业粮食质</w:t>
      </w:r>
      <w:r>
        <w:rPr>
          <w:rFonts w:ascii="仿宋" w:eastAsia="仿宋" w:hAnsi="仿宋" w:hint="eastAsia"/>
          <w:color w:val="000000" w:themeColor="text1"/>
          <w:sz w:val="32"/>
          <w:szCs w:val="32"/>
        </w:rPr>
        <w:t>量状况，标准符合县情。粮食价格监测点布局合理，粮食市场监测预警信息上报及时，预警分析准确、及时。宣传推广科学储粮先进技术，促进企业收储、加工环节和农户储粮环节的粮食减损。</w:t>
      </w:r>
    </w:p>
    <w:p w14:paraId="5902FBF0"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、粮食流通行政执法绩效目标：对全社会粮食流通进行行政执法，依法实施行政处罚，指导行业监督检查和行政执法。执法检查常规化；执法人员持证上岗率</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；落实行政执法责任制，规范粮食行政执法行为，提高行政执法水平。促进粮食企业合法经营，确保粮食数量真实、质量良好。</w:t>
      </w:r>
    </w:p>
    <w:p w14:paraId="62881754" w14:textId="77777777" w:rsidR="001B5865" w:rsidRDefault="00BF4863">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、粮食政务管理绩效目标：负责粮食系统综合业务管理和机关统合事务管理。夯实行业</w:t>
      </w:r>
      <w:r>
        <w:rPr>
          <w:rFonts w:ascii="仿宋" w:eastAsia="仿宋" w:hAnsi="仿宋" w:hint="eastAsia"/>
          <w:color w:val="000000" w:themeColor="text1"/>
          <w:sz w:val="32"/>
          <w:szCs w:val="32"/>
        </w:rPr>
        <w:t>发展基础，壮大企业整体实力，促进产业健康发展；规范执法行为；粮食收购资格审批工作规范化、制度化。保障信息网络畅通，及时发布粮食宏观政策，全面掌握粮食市场粮情变化；行政执法人员持证上岗、依法行政，专业技能水平达到行业发展要求；提升财务工作管理水平，促进企业财务行为合法、规范；确保会议经费不突破预算。</w:t>
      </w:r>
    </w:p>
    <w:p w14:paraId="19F3D5FF" w14:textId="77777777" w:rsidR="001B5865" w:rsidRDefault="00BF4863">
      <w:pPr>
        <w:ind w:firstLineChars="200" w:firstLine="643"/>
        <w:jc w:val="left"/>
        <w:rPr>
          <w:rFonts w:ascii="黑体" w:eastAsia="黑体" w:hAnsi="黑体" w:cs="黑体"/>
          <w:b/>
          <w:sz w:val="32"/>
          <w:szCs w:val="32"/>
        </w:rPr>
      </w:pPr>
      <w:r>
        <w:rPr>
          <w:rFonts w:ascii="黑体" w:eastAsia="黑体" w:hAnsi="黑体" w:cs="黑体" w:hint="eastAsia"/>
          <w:b/>
          <w:sz w:val="32"/>
          <w:szCs w:val="32"/>
        </w:rPr>
        <w:t>（三）</w:t>
      </w:r>
      <w:r>
        <w:rPr>
          <w:rFonts w:ascii="黑体" w:eastAsia="黑体" w:hAnsi="黑体" w:cs="黑体" w:hint="eastAsia"/>
          <w:b/>
          <w:sz w:val="32"/>
          <w:szCs w:val="32"/>
        </w:rPr>
        <w:t>工作保障措施</w:t>
      </w:r>
      <w:r>
        <w:rPr>
          <w:rFonts w:ascii="黑体" w:eastAsia="黑体" w:hAnsi="黑体" w:cs="黑体" w:hint="eastAsia"/>
          <w:b/>
          <w:sz w:val="32"/>
          <w:szCs w:val="32"/>
        </w:rPr>
        <w:t>：</w:t>
      </w:r>
    </w:p>
    <w:p w14:paraId="3A65615E"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、认真贯彻落实国家方针政策和法律、法规，组织制订全县粮食流通发展规划。发挥宏观调控职能，制订粮食应急预案，确保粮食安全。</w:t>
      </w:r>
    </w:p>
    <w:p w14:paraId="5E5522CC"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、强化粮食市场监管，维护正常的粮食流通秩序，切实履行粮</w:t>
      </w:r>
      <w:r>
        <w:rPr>
          <w:rFonts w:ascii="仿宋" w:eastAsia="仿宋" w:hAnsi="仿宋" w:cs="仿宋" w:hint="eastAsia"/>
          <w:sz w:val="32"/>
          <w:szCs w:val="32"/>
        </w:rPr>
        <w:lastRenderedPageBreak/>
        <w:t>食流通</w:t>
      </w:r>
      <w:r>
        <w:rPr>
          <w:rFonts w:ascii="仿宋" w:eastAsia="仿宋" w:hAnsi="仿宋" w:cs="仿宋" w:hint="eastAsia"/>
          <w:sz w:val="32"/>
          <w:szCs w:val="32"/>
        </w:rPr>
        <w:t>监管职责。</w:t>
      </w:r>
    </w:p>
    <w:p w14:paraId="0324C92D" w14:textId="77777777" w:rsidR="001B5865" w:rsidRDefault="00BF4863">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、对社会粮食流通进行执法检查，依法实施行政处罚，保护粮食生产者、经营者和消费者的合法权益。</w:t>
      </w:r>
    </w:p>
    <w:p w14:paraId="35466764" w14:textId="77777777" w:rsidR="001B5865" w:rsidRDefault="001B5865">
      <w:pPr>
        <w:spacing w:line="500" w:lineRule="exact"/>
        <w:ind w:firstLineChars="200" w:firstLine="560"/>
        <w:jc w:val="left"/>
        <w:rPr>
          <w:rFonts w:eastAsia="方正仿宋_GBK"/>
          <w:sz w:val="28"/>
        </w:rPr>
      </w:pPr>
    </w:p>
    <w:p w14:paraId="68F928F7" w14:textId="77777777" w:rsidR="001B5865" w:rsidRDefault="001B5865">
      <w:pPr>
        <w:pStyle w:val="a9"/>
        <w:shd w:val="clear" w:color="auto" w:fill="FFFFFF"/>
        <w:spacing w:line="540" w:lineRule="atLeast"/>
        <w:ind w:firstLineChars="200" w:firstLine="600"/>
        <w:rPr>
          <w:rFonts w:ascii="宋体" w:eastAsia="宋体" w:hAnsi="宋体" w:cs="宋体"/>
          <w:sz w:val="30"/>
          <w:szCs w:val="30"/>
        </w:rPr>
      </w:pPr>
    </w:p>
    <w:p w14:paraId="39A58112" w14:textId="77777777" w:rsidR="001B5865" w:rsidRDefault="001B5865">
      <w:pPr>
        <w:spacing w:line="500" w:lineRule="exact"/>
        <w:ind w:firstLineChars="200" w:firstLine="640"/>
        <w:rPr>
          <w:rFonts w:ascii="仿宋" w:eastAsia="仿宋" w:hAnsi="仿宋"/>
          <w:color w:val="000000" w:themeColor="text1"/>
          <w:sz w:val="32"/>
          <w:szCs w:val="32"/>
        </w:rPr>
      </w:pPr>
    </w:p>
    <w:p w14:paraId="1D555440" w14:textId="77777777" w:rsidR="001B5865" w:rsidRDefault="00BF4863">
      <w:pPr>
        <w:jc w:val="center"/>
        <w:sectPr w:rsidR="001B5865">
          <w:pgSz w:w="11907" w:h="16839"/>
          <w:pgMar w:top="1440" w:right="1080" w:bottom="1440" w:left="1080" w:header="851" w:footer="992" w:gutter="0"/>
          <w:cols w:space="425"/>
          <w:docGrid w:type="lines" w:linePitch="312"/>
        </w:sectPr>
      </w:pPr>
      <w:r>
        <w:rPr>
          <w:rFonts w:ascii="方正书宋_GBK" w:eastAsia="方正书宋_GBK"/>
        </w:rPr>
        <w:t xml:space="preserve"> </w:t>
      </w:r>
    </w:p>
    <w:p w14:paraId="6D8DE461" w14:textId="77777777" w:rsidR="001B5865" w:rsidRDefault="001B5865">
      <w:pPr>
        <w:spacing w:line="300" w:lineRule="exact"/>
        <w:jc w:val="left"/>
      </w:pPr>
    </w:p>
    <w:p w14:paraId="777F41DD" w14:textId="77777777" w:rsidR="001B5865" w:rsidRDefault="00BF4863">
      <w:pPr>
        <w:numPr>
          <w:ilvl w:val="0"/>
          <w:numId w:val="7"/>
        </w:numPr>
        <w:tabs>
          <w:tab w:val="left" w:pos="11490"/>
        </w:tabs>
        <w:ind w:left="640"/>
        <w:rPr>
          <w:rFonts w:ascii="黑体" w:eastAsia="黑体" w:hAnsi="黑体" w:cs="黑体"/>
          <w:b/>
          <w:bCs/>
          <w:sz w:val="32"/>
          <w:szCs w:val="32"/>
        </w:rPr>
      </w:pPr>
      <w:r>
        <w:rPr>
          <w:rFonts w:ascii="黑体" w:eastAsia="黑体" w:hAnsi="黑体" w:cs="黑体" w:hint="eastAsia"/>
          <w:b/>
          <w:bCs/>
          <w:sz w:val="32"/>
          <w:szCs w:val="32"/>
        </w:rPr>
        <w:t>政府采购预算情况</w:t>
      </w:r>
    </w:p>
    <w:p w14:paraId="680EB963" w14:textId="0B0E1011" w:rsidR="001B5865" w:rsidRDefault="00787C78">
      <w:pPr>
        <w:spacing w:line="500" w:lineRule="exact"/>
        <w:ind w:firstLineChars="200" w:firstLine="640"/>
        <w:rPr>
          <w:rFonts w:eastAsia="方正仿宋_GBK" w:hAnsi="宋体" w:cs="宋体"/>
          <w:sz w:val="28"/>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021</w:t>
      </w:r>
      <w:r>
        <w:rPr>
          <w:rFonts w:ascii="仿宋" w:eastAsia="仿宋" w:hAnsi="仿宋" w:hint="eastAsia"/>
          <w:color w:val="000000" w:themeColor="text1"/>
          <w:sz w:val="32"/>
          <w:szCs w:val="32"/>
        </w:rPr>
        <w:t>年，</w:t>
      </w:r>
      <w:r w:rsidR="00BF4863">
        <w:rPr>
          <w:rFonts w:ascii="仿宋" w:eastAsia="仿宋" w:hAnsi="仿宋" w:hint="eastAsia"/>
          <w:color w:val="000000" w:themeColor="text1"/>
          <w:sz w:val="32"/>
          <w:szCs w:val="32"/>
        </w:rPr>
        <w:t>本单位本年度无政府采购预算。</w:t>
      </w:r>
    </w:p>
    <w:p w14:paraId="17EAFFC8" w14:textId="77777777" w:rsidR="001B5865" w:rsidRDefault="00BF4863">
      <w:pPr>
        <w:numPr>
          <w:ilvl w:val="0"/>
          <w:numId w:val="7"/>
        </w:numPr>
        <w:tabs>
          <w:tab w:val="left" w:pos="11490"/>
        </w:tabs>
        <w:ind w:left="640"/>
        <w:rPr>
          <w:rFonts w:ascii="黑体" w:eastAsia="黑体" w:hAnsi="黑体" w:cs="黑体"/>
          <w:b/>
          <w:bCs/>
          <w:sz w:val="32"/>
          <w:szCs w:val="32"/>
        </w:rPr>
      </w:pPr>
      <w:r>
        <w:rPr>
          <w:rFonts w:ascii="黑体" w:eastAsia="黑体" w:hAnsi="黑体" w:cs="黑体" w:hint="eastAsia"/>
          <w:b/>
          <w:bCs/>
          <w:sz w:val="32"/>
          <w:szCs w:val="32"/>
        </w:rPr>
        <w:t>国有资产信息</w:t>
      </w:r>
    </w:p>
    <w:p w14:paraId="2D6355F4" w14:textId="77777777" w:rsidR="001B5865" w:rsidRDefault="00BF486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丰宁</w:t>
      </w:r>
      <w:r>
        <w:rPr>
          <w:rFonts w:ascii="仿宋" w:eastAsia="仿宋" w:hAnsi="仿宋" w:cs="仿宋" w:hint="eastAsia"/>
          <w:sz w:val="32"/>
          <w:szCs w:val="32"/>
        </w:rPr>
        <w:t>满族自治县粮食局</w:t>
      </w:r>
      <w:r>
        <w:rPr>
          <w:rFonts w:ascii="仿宋" w:eastAsia="仿宋" w:hAnsi="仿宋" w:hint="eastAsia"/>
          <w:color w:val="000000" w:themeColor="text1"/>
          <w:sz w:val="32"/>
          <w:szCs w:val="32"/>
        </w:rPr>
        <w:t>上年末</w:t>
      </w:r>
      <w:r>
        <w:rPr>
          <w:rFonts w:ascii="仿宋" w:eastAsia="仿宋" w:hAnsi="仿宋" w:cs="仿宋" w:hint="eastAsia"/>
          <w:sz w:val="32"/>
          <w:szCs w:val="32"/>
        </w:rPr>
        <w:t>固定资产金额为</w:t>
      </w:r>
      <w:r>
        <w:rPr>
          <w:rFonts w:ascii="仿宋" w:eastAsia="仿宋" w:hAnsi="仿宋" w:cs="仿宋" w:hint="eastAsia"/>
          <w:sz w:val="32"/>
          <w:szCs w:val="32"/>
        </w:rPr>
        <w:t>72</w:t>
      </w:r>
      <w:r>
        <w:rPr>
          <w:rFonts w:ascii="仿宋" w:eastAsia="仿宋" w:hAnsi="仿宋" w:cs="仿宋" w:hint="eastAsia"/>
          <w:sz w:val="32"/>
          <w:szCs w:val="32"/>
        </w:rPr>
        <w:t>万元（详见下表），</w:t>
      </w:r>
      <w:r>
        <w:rPr>
          <w:rFonts w:ascii="仿宋" w:eastAsia="仿宋" w:hAnsi="仿宋" w:cs="仿宋" w:hint="eastAsia"/>
          <w:sz w:val="32"/>
          <w:szCs w:val="32"/>
        </w:rPr>
        <w:t>本年度本单位无采购计划。</w:t>
      </w:r>
    </w:p>
    <w:tbl>
      <w:tblPr>
        <w:tblW w:w="10300" w:type="dxa"/>
        <w:jc w:val="center"/>
        <w:tblLayout w:type="fixed"/>
        <w:tblLook w:val="04A0" w:firstRow="1" w:lastRow="0" w:firstColumn="1" w:lastColumn="0" w:noHBand="0" w:noVBand="1"/>
      </w:tblPr>
      <w:tblGrid>
        <w:gridCol w:w="3991"/>
        <w:gridCol w:w="2411"/>
        <w:gridCol w:w="3898"/>
      </w:tblGrid>
      <w:tr w:rsidR="001B5865" w14:paraId="319F6C9F" w14:textId="77777777">
        <w:trPr>
          <w:trHeight w:val="620"/>
          <w:jc w:val="center"/>
        </w:trPr>
        <w:tc>
          <w:tcPr>
            <w:tcW w:w="10300" w:type="dxa"/>
            <w:gridSpan w:val="3"/>
            <w:tcBorders>
              <w:top w:val="nil"/>
              <w:left w:val="nil"/>
              <w:bottom w:val="nil"/>
              <w:right w:val="nil"/>
            </w:tcBorders>
            <w:shd w:val="clear" w:color="auto" w:fill="auto"/>
            <w:noWrap/>
            <w:vAlign w:val="center"/>
          </w:tcPr>
          <w:p w14:paraId="56E53141" w14:textId="77777777" w:rsidR="001B5865" w:rsidRDefault="00BF48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丰宁满族自治县</w:t>
            </w:r>
            <w:r>
              <w:rPr>
                <w:rFonts w:ascii="仿宋" w:eastAsia="仿宋" w:hAnsi="仿宋" w:cs="仿宋" w:hint="eastAsia"/>
                <w:b/>
                <w:bCs/>
                <w:kern w:val="0"/>
                <w:sz w:val="32"/>
                <w:szCs w:val="32"/>
              </w:rPr>
              <w:t>粮食局</w:t>
            </w:r>
            <w:r>
              <w:rPr>
                <w:rFonts w:ascii="仿宋" w:eastAsia="仿宋" w:hAnsi="仿宋" w:cs="仿宋" w:hint="eastAsia"/>
                <w:b/>
                <w:bCs/>
                <w:kern w:val="0"/>
                <w:sz w:val="32"/>
                <w:szCs w:val="32"/>
              </w:rPr>
              <w:t>固定资产占用情况表</w:t>
            </w:r>
          </w:p>
        </w:tc>
      </w:tr>
      <w:tr w:rsidR="001B5865" w14:paraId="77DEF7F7" w14:textId="77777777">
        <w:trPr>
          <w:trHeight w:val="406"/>
          <w:jc w:val="center"/>
        </w:trPr>
        <w:tc>
          <w:tcPr>
            <w:tcW w:w="6402" w:type="dxa"/>
            <w:gridSpan w:val="2"/>
            <w:tcBorders>
              <w:top w:val="nil"/>
              <w:left w:val="nil"/>
              <w:bottom w:val="nil"/>
              <w:right w:val="nil"/>
            </w:tcBorders>
            <w:shd w:val="clear" w:color="auto" w:fill="auto"/>
            <w:noWrap/>
            <w:vAlign w:val="center"/>
          </w:tcPr>
          <w:p w14:paraId="4C16D9B7"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编制部门：丰宁满族自治县</w:t>
            </w:r>
            <w:r>
              <w:rPr>
                <w:rFonts w:ascii="仿宋" w:eastAsia="仿宋" w:hAnsi="仿宋" w:cs="仿宋" w:hint="eastAsia"/>
                <w:kern w:val="0"/>
                <w:sz w:val="24"/>
                <w:szCs w:val="24"/>
              </w:rPr>
              <w:t>粮食局</w:t>
            </w:r>
          </w:p>
        </w:tc>
        <w:tc>
          <w:tcPr>
            <w:tcW w:w="3898" w:type="dxa"/>
            <w:tcBorders>
              <w:top w:val="nil"/>
              <w:left w:val="nil"/>
              <w:bottom w:val="nil"/>
              <w:right w:val="nil"/>
            </w:tcBorders>
            <w:shd w:val="clear" w:color="auto" w:fill="auto"/>
            <w:noWrap/>
            <w:vAlign w:val="center"/>
          </w:tcPr>
          <w:p w14:paraId="23AB2609"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截止时间：</w:t>
            </w:r>
            <w:r>
              <w:rPr>
                <w:rFonts w:ascii="仿宋" w:eastAsia="仿宋" w:hAnsi="仿宋" w:cs="仿宋" w:hint="eastAsia"/>
                <w:kern w:val="0"/>
                <w:sz w:val="24"/>
                <w:szCs w:val="24"/>
              </w:rPr>
              <w:t>2020</w:t>
            </w:r>
            <w:r>
              <w:rPr>
                <w:rFonts w:ascii="仿宋" w:eastAsia="仿宋" w:hAnsi="仿宋" w:cs="仿宋" w:hint="eastAsia"/>
                <w:kern w:val="0"/>
                <w:sz w:val="24"/>
                <w:szCs w:val="24"/>
              </w:rPr>
              <w:t>年</w:t>
            </w:r>
            <w:r>
              <w:rPr>
                <w:rFonts w:ascii="仿宋" w:eastAsia="仿宋" w:hAnsi="仿宋" w:cs="仿宋" w:hint="eastAsia"/>
                <w:kern w:val="0"/>
                <w:sz w:val="24"/>
                <w:szCs w:val="24"/>
              </w:rPr>
              <w:t>12</w:t>
            </w:r>
            <w:r>
              <w:rPr>
                <w:rFonts w:ascii="仿宋" w:eastAsia="仿宋" w:hAnsi="仿宋" w:cs="仿宋" w:hint="eastAsia"/>
                <w:kern w:val="0"/>
                <w:sz w:val="24"/>
                <w:szCs w:val="24"/>
              </w:rPr>
              <w:t>月</w:t>
            </w:r>
            <w:r>
              <w:rPr>
                <w:rFonts w:ascii="仿宋" w:eastAsia="仿宋" w:hAnsi="仿宋" w:cs="仿宋" w:hint="eastAsia"/>
                <w:kern w:val="0"/>
                <w:sz w:val="24"/>
                <w:szCs w:val="24"/>
              </w:rPr>
              <w:t>31</w:t>
            </w:r>
            <w:r>
              <w:rPr>
                <w:rFonts w:ascii="仿宋" w:eastAsia="仿宋" w:hAnsi="仿宋" w:cs="仿宋" w:hint="eastAsia"/>
                <w:kern w:val="0"/>
                <w:sz w:val="24"/>
                <w:szCs w:val="24"/>
              </w:rPr>
              <w:t>日</w:t>
            </w:r>
            <w:r>
              <w:rPr>
                <w:rFonts w:ascii="仿宋" w:eastAsia="仿宋" w:hAnsi="仿宋" w:cs="仿宋" w:hint="eastAsia"/>
                <w:kern w:val="0"/>
                <w:sz w:val="24"/>
                <w:szCs w:val="24"/>
              </w:rPr>
              <w:t xml:space="preserve">  </w:t>
            </w:r>
          </w:p>
        </w:tc>
      </w:tr>
      <w:tr w:rsidR="001B5865" w14:paraId="5FAFD78A" w14:textId="77777777">
        <w:trPr>
          <w:trHeight w:val="531"/>
          <w:jc w:val="center"/>
        </w:trPr>
        <w:tc>
          <w:tcPr>
            <w:tcW w:w="3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BB09F" w14:textId="77777777" w:rsidR="001B5865" w:rsidRDefault="00BF48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项</w:t>
            </w:r>
            <w:r>
              <w:rPr>
                <w:rFonts w:ascii="仿宋" w:eastAsia="仿宋" w:hAnsi="仿宋" w:cs="仿宋" w:hint="eastAsia"/>
                <w:b/>
                <w:bCs/>
                <w:kern w:val="0"/>
                <w:sz w:val="24"/>
                <w:szCs w:val="24"/>
              </w:rPr>
              <w:t xml:space="preserve">   </w:t>
            </w:r>
            <w:r>
              <w:rPr>
                <w:rFonts w:ascii="仿宋" w:eastAsia="仿宋" w:hAnsi="仿宋" w:cs="仿宋" w:hint="eastAsia"/>
                <w:b/>
                <w:bCs/>
                <w:kern w:val="0"/>
                <w:sz w:val="24"/>
                <w:szCs w:val="24"/>
              </w:rPr>
              <w:t>目</w:t>
            </w:r>
          </w:p>
        </w:tc>
        <w:tc>
          <w:tcPr>
            <w:tcW w:w="2411" w:type="dxa"/>
            <w:tcBorders>
              <w:top w:val="single" w:sz="4" w:space="0" w:color="auto"/>
              <w:left w:val="nil"/>
              <w:bottom w:val="single" w:sz="4" w:space="0" w:color="auto"/>
              <w:right w:val="single" w:sz="4" w:space="0" w:color="auto"/>
            </w:tcBorders>
            <w:shd w:val="clear" w:color="auto" w:fill="auto"/>
            <w:noWrap/>
            <w:vAlign w:val="center"/>
          </w:tcPr>
          <w:p w14:paraId="6A13A132" w14:textId="77777777" w:rsidR="001B5865" w:rsidRDefault="00BF48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tc>
        <w:tc>
          <w:tcPr>
            <w:tcW w:w="3898" w:type="dxa"/>
            <w:tcBorders>
              <w:top w:val="single" w:sz="4" w:space="0" w:color="auto"/>
              <w:left w:val="nil"/>
              <w:bottom w:val="single" w:sz="4" w:space="0" w:color="auto"/>
              <w:right w:val="single" w:sz="4" w:space="0" w:color="auto"/>
            </w:tcBorders>
            <w:shd w:val="clear" w:color="auto" w:fill="auto"/>
            <w:noWrap/>
            <w:vAlign w:val="center"/>
          </w:tcPr>
          <w:p w14:paraId="0E1BE86A" w14:textId="77777777" w:rsidR="001B5865" w:rsidRDefault="00BF48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价值（金额单位：万元）</w:t>
            </w:r>
          </w:p>
        </w:tc>
      </w:tr>
      <w:tr w:rsidR="001B5865" w14:paraId="24B37392" w14:textId="77777777">
        <w:trPr>
          <w:trHeight w:val="531"/>
          <w:jc w:val="center"/>
        </w:trPr>
        <w:tc>
          <w:tcPr>
            <w:tcW w:w="3991" w:type="dxa"/>
            <w:tcBorders>
              <w:top w:val="nil"/>
              <w:left w:val="single" w:sz="4" w:space="0" w:color="auto"/>
              <w:bottom w:val="single" w:sz="4" w:space="0" w:color="auto"/>
              <w:right w:val="single" w:sz="4" w:space="0" w:color="auto"/>
            </w:tcBorders>
            <w:shd w:val="clear" w:color="auto" w:fill="auto"/>
            <w:noWrap/>
            <w:vAlign w:val="center"/>
          </w:tcPr>
          <w:p w14:paraId="77ECA956"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资产总额</w:t>
            </w:r>
          </w:p>
        </w:tc>
        <w:tc>
          <w:tcPr>
            <w:tcW w:w="2411" w:type="dxa"/>
            <w:tcBorders>
              <w:top w:val="nil"/>
              <w:left w:val="nil"/>
              <w:bottom w:val="single" w:sz="4" w:space="0" w:color="auto"/>
              <w:right w:val="single" w:sz="4" w:space="0" w:color="auto"/>
            </w:tcBorders>
            <w:shd w:val="clear" w:color="auto" w:fill="auto"/>
            <w:noWrap/>
            <w:vAlign w:val="center"/>
          </w:tcPr>
          <w:p w14:paraId="4D295123"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3898" w:type="dxa"/>
            <w:tcBorders>
              <w:top w:val="nil"/>
              <w:left w:val="nil"/>
              <w:bottom w:val="single" w:sz="4" w:space="0" w:color="auto"/>
              <w:right w:val="single" w:sz="4" w:space="0" w:color="auto"/>
            </w:tcBorders>
            <w:shd w:val="clear" w:color="auto" w:fill="auto"/>
            <w:noWrap/>
            <w:vAlign w:val="center"/>
          </w:tcPr>
          <w:p w14:paraId="451A8029"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72</w:t>
            </w:r>
          </w:p>
        </w:tc>
      </w:tr>
      <w:tr w:rsidR="001B5865" w14:paraId="48BF1034" w14:textId="77777777">
        <w:trPr>
          <w:trHeight w:val="531"/>
          <w:jc w:val="center"/>
        </w:trPr>
        <w:tc>
          <w:tcPr>
            <w:tcW w:w="3991" w:type="dxa"/>
            <w:tcBorders>
              <w:top w:val="nil"/>
              <w:left w:val="single" w:sz="4" w:space="0" w:color="auto"/>
              <w:bottom w:val="single" w:sz="4" w:space="0" w:color="auto"/>
              <w:right w:val="single" w:sz="4" w:space="0" w:color="auto"/>
            </w:tcBorders>
            <w:shd w:val="clear" w:color="auto" w:fill="auto"/>
            <w:noWrap/>
            <w:vAlign w:val="center"/>
          </w:tcPr>
          <w:p w14:paraId="1365773E"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、房屋（平方米）</w:t>
            </w:r>
          </w:p>
        </w:tc>
        <w:tc>
          <w:tcPr>
            <w:tcW w:w="2411" w:type="dxa"/>
            <w:tcBorders>
              <w:top w:val="nil"/>
              <w:left w:val="nil"/>
              <w:bottom w:val="single" w:sz="4" w:space="0" w:color="auto"/>
              <w:right w:val="single" w:sz="4" w:space="0" w:color="auto"/>
            </w:tcBorders>
            <w:shd w:val="clear" w:color="auto" w:fill="auto"/>
            <w:noWrap/>
            <w:vAlign w:val="center"/>
          </w:tcPr>
          <w:p w14:paraId="369C38C6" w14:textId="77777777" w:rsidR="001B5865" w:rsidRDefault="00BF4863">
            <w:pPr>
              <w:widowControl/>
              <w:jc w:val="center"/>
              <w:rPr>
                <w:rFonts w:ascii="仿宋" w:eastAsia="仿宋" w:hAnsi="仿宋" w:cs="仿宋"/>
                <w:kern w:val="0"/>
                <w:sz w:val="24"/>
                <w:szCs w:val="24"/>
                <w:highlight w:val="yellow"/>
              </w:rPr>
            </w:pPr>
            <w:r>
              <w:rPr>
                <w:rFonts w:ascii="仿宋" w:eastAsia="仿宋" w:hAnsi="仿宋" w:cs="仿宋" w:hint="eastAsia"/>
                <w:kern w:val="0"/>
                <w:sz w:val="24"/>
                <w:szCs w:val="24"/>
              </w:rPr>
              <w:t>724</w:t>
            </w:r>
          </w:p>
        </w:tc>
        <w:tc>
          <w:tcPr>
            <w:tcW w:w="3898" w:type="dxa"/>
            <w:tcBorders>
              <w:top w:val="nil"/>
              <w:left w:val="nil"/>
              <w:bottom w:val="single" w:sz="4" w:space="0" w:color="auto"/>
              <w:right w:val="single" w:sz="4" w:space="0" w:color="auto"/>
            </w:tcBorders>
            <w:shd w:val="clear" w:color="auto" w:fill="auto"/>
            <w:noWrap/>
            <w:vAlign w:val="center"/>
          </w:tcPr>
          <w:p w14:paraId="223AE710" w14:textId="77777777" w:rsidR="001B5865" w:rsidRDefault="00BF4863">
            <w:pPr>
              <w:widowControl/>
              <w:jc w:val="center"/>
              <w:rPr>
                <w:rFonts w:ascii="仿宋" w:eastAsia="仿宋" w:hAnsi="仿宋" w:cs="仿宋"/>
                <w:kern w:val="0"/>
                <w:sz w:val="24"/>
                <w:szCs w:val="24"/>
                <w:highlight w:val="yellow"/>
              </w:rPr>
            </w:pPr>
            <w:r>
              <w:rPr>
                <w:rFonts w:ascii="仿宋" w:eastAsia="仿宋" w:hAnsi="仿宋" w:cs="仿宋" w:hint="eastAsia"/>
                <w:kern w:val="0"/>
                <w:sz w:val="24"/>
                <w:szCs w:val="24"/>
              </w:rPr>
              <w:t>39</w:t>
            </w:r>
          </w:p>
        </w:tc>
      </w:tr>
      <w:tr w:rsidR="001B5865" w14:paraId="1B2658C9" w14:textId="77777777">
        <w:trPr>
          <w:trHeight w:val="531"/>
          <w:jc w:val="center"/>
        </w:trPr>
        <w:tc>
          <w:tcPr>
            <w:tcW w:w="3991" w:type="dxa"/>
            <w:tcBorders>
              <w:top w:val="nil"/>
              <w:left w:val="single" w:sz="4" w:space="0" w:color="auto"/>
              <w:bottom w:val="single" w:sz="4" w:space="0" w:color="auto"/>
              <w:right w:val="single" w:sz="4" w:space="0" w:color="auto"/>
            </w:tcBorders>
            <w:shd w:val="clear" w:color="auto" w:fill="auto"/>
            <w:noWrap/>
            <w:vAlign w:val="center"/>
          </w:tcPr>
          <w:p w14:paraId="64DD67FD"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其中：办公用房（平方米）</w:t>
            </w:r>
          </w:p>
        </w:tc>
        <w:tc>
          <w:tcPr>
            <w:tcW w:w="2411" w:type="dxa"/>
            <w:tcBorders>
              <w:top w:val="nil"/>
              <w:left w:val="nil"/>
              <w:bottom w:val="single" w:sz="4" w:space="0" w:color="auto"/>
              <w:right w:val="single" w:sz="4" w:space="0" w:color="auto"/>
            </w:tcBorders>
            <w:shd w:val="clear" w:color="auto" w:fill="auto"/>
            <w:noWrap/>
            <w:vAlign w:val="center"/>
          </w:tcPr>
          <w:p w14:paraId="1CEB5198"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724</w:t>
            </w:r>
          </w:p>
        </w:tc>
        <w:tc>
          <w:tcPr>
            <w:tcW w:w="3898" w:type="dxa"/>
            <w:tcBorders>
              <w:top w:val="nil"/>
              <w:left w:val="nil"/>
              <w:bottom w:val="single" w:sz="4" w:space="0" w:color="auto"/>
              <w:right w:val="single" w:sz="4" w:space="0" w:color="auto"/>
            </w:tcBorders>
            <w:shd w:val="clear" w:color="auto" w:fill="auto"/>
            <w:noWrap/>
            <w:vAlign w:val="center"/>
          </w:tcPr>
          <w:p w14:paraId="0AA5F14A"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39</w:t>
            </w:r>
          </w:p>
        </w:tc>
      </w:tr>
      <w:tr w:rsidR="001B5865" w14:paraId="6F37A0D1" w14:textId="77777777">
        <w:trPr>
          <w:trHeight w:val="531"/>
          <w:jc w:val="center"/>
        </w:trPr>
        <w:tc>
          <w:tcPr>
            <w:tcW w:w="3991" w:type="dxa"/>
            <w:tcBorders>
              <w:top w:val="nil"/>
              <w:left w:val="single" w:sz="4" w:space="0" w:color="auto"/>
              <w:bottom w:val="single" w:sz="4" w:space="0" w:color="auto"/>
              <w:right w:val="single" w:sz="4" w:space="0" w:color="auto"/>
            </w:tcBorders>
            <w:shd w:val="clear" w:color="auto" w:fill="auto"/>
            <w:noWrap/>
            <w:vAlign w:val="center"/>
          </w:tcPr>
          <w:p w14:paraId="2928D3A3"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、车辆（台、辆）</w:t>
            </w:r>
          </w:p>
        </w:tc>
        <w:tc>
          <w:tcPr>
            <w:tcW w:w="2411" w:type="dxa"/>
            <w:tcBorders>
              <w:top w:val="nil"/>
              <w:left w:val="nil"/>
              <w:bottom w:val="single" w:sz="4" w:space="0" w:color="auto"/>
              <w:right w:val="single" w:sz="4" w:space="0" w:color="auto"/>
            </w:tcBorders>
            <w:shd w:val="clear" w:color="auto" w:fill="auto"/>
            <w:noWrap/>
            <w:vAlign w:val="center"/>
          </w:tcPr>
          <w:p w14:paraId="1E4BEC08"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3898" w:type="dxa"/>
            <w:tcBorders>
              <w:top w:val="nil"/>
              <w:left w:val="nil"/>
              <w:bottom w:val="single" w:sz="4" w:space="0" w:color="auto"/>
              <w:right w:val="single" w:sz="4" w:space="0" w:color="auto"/>
            </w:tcBorders>
            <w:shd w:val="clear" w:color="auto" w:fill="auto"/>
            <w:noWrap/>
            <w:vAlign w:val="center"/>
          </w:tcPr>
          <w:p w14:paraId="61AAC43F"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r>
      <w:tr w:rsidR="001B5865" w14:paraId="1B04CD56" w14:textId="77777777">
        <w:trPr>
          <w:trHeight w:val="549"/>
          <w:jc w:val="center"/>
        </w:trPr>
        <w:tc>
          <w:tcPr>
            <w:tcW w:w="3991" w:type="dxa"/>
            <w:tcBorders>
              <w:top w:val="nil"/>
              <w:left w:val="single" w:sz="4" w:space="0" w:color="auto"/>
              <w:bottom w:val="single" w:sz="4" w:space="0" w:color="auto"/>
              <w:right w:val="single" w:sz="4" w:space="0" w:color="auto"/>
            </w:tcBorders>
            <w:shd w:val="clear" w:color="auto" w:fill="auto"/>
            <w:noWrap/>
            <w:vAlign w:val="center"/>
          </w:tcPr>
          <w:p w14:paraId="44215C66" w14:textId="77777777" w:rsidR="001B5865" w:rsidRDefault="00BF4863">
            <w:pPr>
              <w:widowControl/>
              <w:jc w:val="lef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、其他固定资产</w:t>
            </w:r>
          </w:p>
        </w:tc>
        <w:tc>
          <w:tcPr>
            <w:tcW w:w="2411" w:type="dxa"/>
            <w:tcBorders>
              <w:top w:val="nil"/>
              <w:left w:val="nil"/>
              <w:bottom w:val="single" w:sz="4" w:space="0" w:color="auto"/>
              <w:right w:val="single" w:sz="4" w:space="0" w:color="auto"/>
            </w:tcBorders>
            <w:shd w:val="clear" w:color="auto" w:fill="auto"/>
            <w:noWrap/>
            <w:vAlign w:val="center"/>
          </w:tcPr>
          <w:p w14:paraId="4EE2933D" w14:textId="77777777" w:rsidR="001B5865" w:rsidRDefault="001B5865">
            <w:pPr>
              <w:widowControl/>
              <w:jc w:val="center"/>
              <w:rPr>
                <w:rFonts w:ascii="仿宋" w:eastAsia="仿宋" w:hAnsi="仿宋" w:cs="仿宋"/>
                <w:kern w:val="0"/>
                <w:sz w:val="24"/>
                <w:szCs w:val="24"/>
              </w:rPr>
            </w:pPr>
          </w:p>
        </w:tc>
        <w:tc>
          <w:tcPr>
            <w:tcW w:w="3898" w:type="dxa"/>
            <w:tcBorders>
              <w:top w:val="nil"/>
              <w:left w:val="nil"/>
              <w:bottom w:val="single" w:sz="4" w:space="0" w:color="auto"/>
              <w:right w:val="single" w:sz="4" w:space="0" w:color="auto"/>
            </w:tcBorders>
            <w:shd w:val="clear" w:color="auto" w:fill="auto"/>
            <w:noWrap/>
            <w:vAlign w:val="center"/>
          </w:tcPr>
          <w:p w14:paraId="6537715C" w14:textId="77777777" w:rsidR="001B5865" w:rsidRDefault="00BF4863">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r>
    </w:tbl>
    <w:p w14:paraId="224619D6" w14:textId="77777777" w:rsidR="001B5865" w:rsidRDefault="001B5865">
      <w:pPr>
        <w:tabs>
          <w:tab w:val="left" w:pos="11490"/>
        </w:tabs>
        <w:rPr>
          <w:rFonts w:ascii="黑体" w:eastAsia="黑体" w:hAnsi="黑体" w:cs="黑体"/>
          <w:b/>
          <w:bCs/>
          <w:sz w:val="32"/>
          <w:szCs w:val="32"/>
        </w:rPr>
      </w:pPr>
    </w:p>
    <w:p w14:paraId="7659E60E" w14:textId="77777777" w:rsidR="001B5865" w:rsidRDefault="00BF4863">
      <w:pPr>
        <w:numPr>
          <w:ilvl w:val="0"/>
          <w:numId w:val="7"/>
        </w:numPr>
        <w:tabs>
          <w:tab w:val="left" w:pos="11490"/>
        </w:tabs>
        <w:ind w:left="640"/>
        <w:rPr>
          <w:rFonts w:ascii="黑体" w:eastAsia="黑体" w:hAnsi="黑体" w:cs="黑体"/>
          <w:b/>
          <w:bCs/>
          <w:sz w:val="32"/>
          <w:szCs w:val="32"/>
        </w:rPr>
      </w:pPr>
      <w:r>
        <w:rPr>
          <w:rFonts w:ascii="黑体" w:eastAsia="黑体" w:hAnsi="黑体" w:cs="黑体" w:hint="eastAsia"/>
          <w:b/>
          <w:bCs/>
          <w:sz w:val="32"/>
          <w:szCs w:val="32"/>
        </w:rPr>
        <w:t>名词解释</w:t>
      </w:r>
      <w:r>
        <w:rPr>
          <w:rFonts w:ascii="黑体" w:eastAsia="黑体" w:hAnsi="黑体" w:cs="黑体" w:hint="eastAsia"/>
          <w:b/>
          <w:bCs/>
          <w:sz w:val="32"/>
          <w:szCs w:val="32"/>
        </w:rPr>
        <w:t>：</w:t>
      </w:r>
    </w:p>
    <w:p w14:paraId="71DB9394"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、一般公共预算拨款收入：</w:t>
      </w:r>
      <w:r>
        <w:rPr>
          <w:rFonts w:ascii="仿宋" w:eastAsia="仿宋" w:hAnsi="仿宋" w:cs="仿宋" w:hint="eastAsia"/>
          <w:sz w:val="32"/>
          <w:szCs w:val="32"/>
        </w:rPr>
        <w:t>指县级财政当年拨付的资金。</w:t>
      </w:r>
    </w:p>
    <w:p w14:paraId="0FB99592"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、事业收入：</w:t>
      </w:r>
      <w:r>
        <w:rPr>
          <w:rFonts w:ascii="仿宋" w:eastAsia="仿宋" w:hAnsi="仿宋" w:cs="仿宋" w:hint="eastAsia"/>
          <w:sz w:val="32"/>
          <w:szCs w:val="32"/>
        </w:rPr>
        <w:t>指事业单位开展专业业务活动及辅助活动所取得的收入。</w:t>
      </w:r>
    </w:p>
    <w:p w14:paraId="5DABBECE"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3</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14:paraId="20C3CA97"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4</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14:paraId="123FCFF6"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5</w:t>
      </w:r>
      <w:r>
        <w:rPr>
          <w:rFonts w:ascii="仿宋" w:eastAsia="仿宋" w:hAnsi="仿宋" w:cs="仿宋" w:hint="eastAsia"/>
          <w:b/>
          <w:sz w:val="32"/>
          <w:szCs w:val="32"/>
        </w:rPr>
        <w:t>、“三公”经费：</w:t>
      </w:r>
      <w:r>
        <w:rPr>
          <w:rFonts w:ascii="仿宋" w:eastAsia="仿宋" w:hAnsi="仿宋" w:cs="仿宋" w:hint="eastAsia"/>
          <w:sz w:val="32"/>
          <w:szCs w:val="32"/>
        </w:rPr>
        <w:t>纳入县级财政预算管理的“三公”经费，是指县级部门用财政拨款安排的因公出国（境）费、公务用车购置及运维费和公务接待费。其中，因公出国（境）费反映单位公务出国（境）的住宿费、旅费、</w:t>
      </w:r>
      <w:r>
        <w:rPr>
          <w:rFonts w:ascii="仿宋" w:eastAsia="仿宋" w:hAnsi="仿宋" w:cs="仿宋" w:hint="eastAsia"/>
          <w:sz w:val="32"/>
          <w:szCs w:val="32"/>
        </w:rPr>
        <w:lastRenderedPageBreak/>
        <w:t>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19C053" w14:textId="77777777" w:rsidR="001B5865" w:rsidRDefault="00BF4863">
      <w:pPr>
        <w:tabs>
          <w:tab w:val="left" w:pos="11490"/>
        </w:tabs>
        <w:ind w:firstLineChars="200" w:firstLine="643"/>
        <w:rPr>
          <w:rFonts w:ascii="仿宋" w:eastAsia="仿宋" w:hAnsi="仿宋" w:cs="仿宋"/>
          <w:sz w:val="32"/>
          <w:szCs w:val="32"/>
        </w:rPr>
      </w:pPr>
      <w:r>
        <w:rPr>
          <w:rFonts w:ascii="仿宋" w:eastAsia="仿宋" w:hAnsi="仿宋" w:cs="仿宋" w:hint="eastAsia"/>
          <w:b/>
          <w:sz w:val="32"/>
          <w:szCs w:val="32"/>
        </w:rPr>
        <w:t>6</w:t>
      </w:r>
      <w:r>
        <w:rPr>
          <w:rFonts w:ascii="仿宋" w:eastAsia="仿宋" w:hAnsi="仿宋" w:cs="仿宋" w:hint="eastAsia"/>
          <w:b/>
          <w:sz w:val="32"/>
          <w:szCs w:val="32"/>
        </w:rPr>
        <w:t>、机关运行费：</w:t>
      </w:r>
      <w:r>
        <w:rPr>
          <w:rFonts w:ascii="仿宋" w:eastAsia="仿宋" w:hAnsi="仿宋" w:cs="仿宋" w:hint="eastAsia"/>
          <w:sz w:val="32"/>
          <w:szCs w:val="32"/>
        </w:rPr>
        <w:t>是指各部门的公用经费，包括办公费、印刷费、咨询费、手续费、电费、差旅费、维修费、租赁费、会议费、公务接待费、劳务费、</w:t>
      </w:r>
      <w:r>
        <w:rPr>
          <w:rFonts w:ascii="仿宋" w:eastAsia="仿宋" w:hAnsi="仿宋" w:cs="仿宋" w:hint="eastAsia"/>
          <w:sz w:val="32"/>
          <w:szCs w:val="32"/>
        </w:rPr>
        <w:t>工会经费、福利费、一般设备购置费、公务用车运行维护费以及其他费用等</w:t>
      </w:r>
    </w:p>
    <w:p w14:paraId="37F3ED38" w14:textId="77777777" w:rsidR="001B5865" w:rsidRDefault="00BF4863">
      <w:pPr>
        <w:tabs>
          <w:tab w:val="left" w:pos="11490"/>
        </w:tabs>
        <w:ind w:firstLineChars="200" w:firstLine="643"/>
        <w:rPr>
          <w:rFonts w:ascii="仿宋" w:eastAsia="仿宋" w:hAnsi="仿宋" w:cs="仿宋"/>
          <w:b/>
          <w:bCs/>
          <w:sz w:val="32"/>
          <w:szCs w:val="32"/>
        </w:rPr>
      </w:pPr>
      <w:r>
        <w:rPr>
          <w:rFonts w:ascii="仿宋" w:eastAsia="仿宋" w:hAnsi="仿宋" w:cs="仿宋" w:hint="eastAsia"/>
          <w:b/>
          <w:bCs/>
          <w:sz w:val="32"/>
          <w:szCs w:val="32"/>
        </w:rPr>
        <w:t>九、其他需要说明的事项</w:t>
      </w:r>
    </w:p>
    <w:p w14:paraId="23E0589C" w14:textId="77777777" w:rsidR="001B5865" w:rsidRDefault="00BF4863">
      <w:pPr>
        <w:ind w:firstLineChars="200" w:firstLine="640"/>
        <w:jc w:val="left"/>
        <w:outlineLvl w:val="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、我单位无政府基金预算，《政府基金预算财政拨款支出表》为空表列示。</w:t>
      </w:r>
    </w:p>
    <w:p w14:paraId="70B41549" w14:textId="77777777" w:rsidR="001B5865" w:rsidRDefault="00BF4863">
      <w:pPr>
        <w:tabs>
          <w:tab w:val="left" w:pos="11490"/>
        </w:tabs>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、我单位无国有资本经营预算，《国有资本经营预算财政拨款支出表》为空表列示。</w:t>
      </w:r>
    </w:p>
    <w:p w14:paraId="47A18FB3" w14:textId="77777777" w:rsidR="001B5865" w:rsidRDefault="001B5865">
      <w:pPr>
        <w:tabs>
          <w:tab w:val="left" w:pos="11490"/>
        </w:tabs>
        <w:ind w:firstLineChars="200" w:firstLine="640"/>
        <w:rPr>
          <w:rFonts w:ascii="仿宋" w:eastAsia="仿宋" w:hAnsi="仿宋" w:cs="仿宋"/>
          <w:color w:val="000000"/>
          <w:sz w:val="32"/>
          <w:szCs w:val="32"/>
        </w:rPr>
      </w:pPr>
    </w:p>
    <w:p w14:paraId="1C129B60" w14:textId="77777777" w:rsidR="001B5865" w:rsidRDefault="001B5865">
      <w:pPr>
        <w:tabs>
          <w:tab w:val="left" w:pos="11490"/>
        </w:tabs>
        <w:ind w:firstLineChars="200" w:firstLine="643"/>
        <w:rPr>
          <w:rFonts w:ascii="黑体" w:eastAsia="黑体" w:hAnsi="黑体" w:cs="黑体"/>
          <w:b/>
          <w:bCs/>
          <w:sz w:val="32"/>
          <w:szCs w:val="32"/>
        </w:rPr>
      </w:pPr>
    </w:p>
    <w:p w14:paraId="10DF6115" w14:textId="77777777" w:rsidR="001B5865" w:rsidRDefault="001B5865">
      <w:pPr>
        <w:rPr>
          <w:szCs w:val="32"/>
        </w:rPr>
      </w:pPr>
    </w:p>
    <w:sectPr w:rsidR="001B5865">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1E857" w14:textId="77777777" w:rsidR="00BF4863" w:rsidRDefault="00BF4863">
      <w:r>
        <w:separator/>
      </w:r>
    </w:p>
  </w:endnote>
  <w:endnote w:type="continuationSeparator" w:id="0">
    <w:p w14:paraId="0F7B4AF2" w14:textId="77777777" w:rsidR="00BF4863" w:rsidRDefault="00BF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547527"/>
    </w:sdtPr>
    <w:sdtEndPr/>
    <w:sdtContent>
      <w:p w14:paraId="7BCDBA85" w14:textId="77777777" w:rsidR="001B5865" w:rsidRDefault="00BF4863">
        <w:pPr>
          <w:pStyle w:val="a5"/>
          <w:jc w:val="center"/>
        </w:pPr>
        <w:r>
          <w:fldChar w:fldCharType="begin"/>
        </w:r>
        <w:r>
          <w:instrText>PAGE   \* MERGEFORMAT</w:instrText>
        </w:r>
        <w:r>
          <w:fldChar w:fldCharType="separate"/>
        </w:r>
        <w:r>
          <w:rPr>
            <w:lang w:val="zh-CN"/>
          </w:rPr>
          <w:t>7</w:t>
        </w:r>
        <w:r>
          <w:rPr>
            <w:lang w:val="zh-CN"/>
          </w:rPr>
          <w:fldChar w:fldCharType="end"/>
        </w:r>
      </w:p>
    </w:sdtContent>
  </w:sdt>
  <w:p w14:paraId="1E797967" w14:textId="77777777" w:rsidR="001B5865" w:rsidRDefault="001B58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0A688" w14:textId="77777777" w:rsidR="00BF4863" w:rsidRDefault="00BF4863">
      <w:r>
        <w:separator/>
      </w:r>
    </w:p>
  </w:footnote>
  <w:footnote w:type="continuationSeparator" w:id="0">
    <w:p w14:paraId="2EFA1934" w14:textId="77777777" w:rsidR="00BF4863" w:rsidRDefault="00BF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C54D8F"/>
    <w:multiLevelType w:val="singleLevel"/>
    <w:tmpl w:val="8AC54D8F"/>
    <w:lvl w:ilvl="0">
      <w:start w:val="3"/>
      <w:numFmt w:val="chineseCounting"/>
      <w:suff w:val="nothing"/>
      <w:lvlText w:val="%1、"/>
      <w:lvlJc w:val="left"/>
      <w:rPr>
        <w:rFonts w:hint="eastAsia"/>
      </w:rPr>
    </w:lvl>
  </w:abstractNum>
  <w:abstractNum w:abstractNumId="1" w15:restartNumberingAfterBreak="0">
    <w:nsid w:val="95A243A7"/>
    <w:multiLevelType w:val="singleLevel"/>
    <w:tmpl w:val="95A243A7"/>
    <w:lvl w:ilvl="0">
      <w:start w:val="1"/>
      <w:numFmt w:val="chineseCounting"/>
      <w:suff w:val="nothing"/>
      <w:lvlText w:val="（%1）"/>
      <w:lvlJc w:val="left"/>
      <w:rPr>
        <w:rFonts w:hint="eastAsia"/>
      </w:rPr>
    </w:lvl>
  </w:abstractNum>
  <w:abstractNum w:abstractNumId="2" w15:restartNumberingAfterBreak="0">
    <w:nsid w:val="B8445BC4"/>
    <w:multiLevelType w:val="singleLevel"/>
    <w:tmpl w:val="B8445BC4"/>
    <w:lvl w:ilvl="0">
      <w:start w:val="2"/>
      <w:numFmt w:val="chineseCounting"/>
      <w:suff w:val="nothing"/>
      <w:lvlText w:val="%1、"/>
      <w:lvlJc w:val="left"/>
      <w:rPr>
        <w:rFonts w:hint="eastAsia"/>
      </w:rPr>
    </w:lvl>
  </w:abstractNum>
  <w:abstractNum w:abstractNumId="3" w15:restartNumberingAfterBreak="0">
    <w:nsid w:val="C801B8E1"/>
    <w:multiLevelType w:val="singleLevel"/>
    <w:tmpl w:val="C801B8E1"/>
    <w:lvl w:ilvl="0">
      <w:start w:val="6"/>
      <w:numFmt w:val="chineseCounting"/>
      <w:suff w:val="nothing"/>
      <w:lvlText w:val="%1、"/>
      <w:lvlJc w:val="left"/>
      <w:rPr>
        <w:rFonts w:hint="eastAsia"/>
      </w:rPr>
    </w:lvl>
  </w:abstractNum>
  <w:abstractNum w:abstractNumId="4" w15:restartNumberingAfterBreak="0">
    <w:nsid w:val="C95CDBDA"/>
    <w:multiLevelType w:val="singleLevel"/>
    <w:tmpl w:val="C95CDBDA"/>
    <w:lvl w:ilvl="0">
      <w:start w:val="3"/>
      <w:numFmt w:val="chineseCounting"/>
      <w:suff w:val="nothing"/>
      <w:lvlText w:val="（%1）"/>
      <w:lvlJc w:val="left"/>
      <w:rPr>
        <w:rFonts w:hint="eastAsia"/>
      </w:rPr>
    </w:lvl>
  </w:abstractNum>
  <w:abstractNum w:abstractNumId="5" w15:restartNumberingAfterBreak="0">
    <w:nsid w:val="F6D015DD"/>
    <w:multiLevelType w:val="singleLevel"/>
    <w:tmpl w:val="F6D015DD"/>
    <w:lvl w:ilvl="0">
      <w:start w:val="1"/>
      <w:numFmt w:val="decimal"/>
      <w:suff w:val="nothing"/>
      <w:lvlText w:val="（%1）"/>
      <w:lvlJc w:val="left"/>
    </w:lvl>
  </w:abstractNum>
  <w:abstractNum w:abstractNumId="6" w15:restartNumberingAfterBreak="0">
    <w:nsid w:val="5AE299AB"/>
    <w:multiLevelType w:val="singleLevel"/>
    <w:tmpl w:val="5AE299AB"/>
    <w:lvl w:ilvl="0">
      <w:start w:val="1"/>
      <w:numFmt w:val="chineseCounting"/>
      <w:suff w:val="nothing"/>
      <w:lvlText w:val="%1、"/>
      <w:lvlJc w:val="left"/>
      <w:rPr>
        <w:rFonts w:hint="eastAsia"/>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66032"/>
    <w:rsid w:val="000358DB"/>
    <w:rsid w:val="00037AF6"/>
    <w:rsid w:val="000560A0"/>
    <w:rsid w:val="00075D5F"/>
    <w:rsid w:val="00080C24"/>
    <w:rsid w:val="000B529B"/>
    <w:rsid w:val="000B75EB"/>
    <w:rsid w:val="000C3A19"/>
    <w:rsid w:val="000D2B03"/>
    <w:rsid w:val="000D6808"/>
    <w:rsid w:val="000F6C1C"/>
    <w:rsid w:val="0010105E"/>
    <w:rsid w:val="00103B16"/>
    <w:rsid w:val="001245BB"/>
    <w:rsid w:val="001251A3"/>
    <w:rsid w:val="001B5865"/>
    <w:rsid w:val="001D2094"/>
    <w:rsid w:val="001F7873"/>
    <w:rsid w:val="00222F64"/>
    <w:rsid w:val="00241FD4"/>
    <w:rsid w:val="00251B12"/>
    <w:rsid w:val="00293A59"/>
    <w:rsid w:val="00296113"/>
    <w:rsid w:val="002A0737"/>
    <w:rsid w:val="002A673A"/>
    <w:rsid w:val="002A7D60"/>
    <w:rsid w:val="002C5E13"/>
    <w:rsid w:val="002C62BC"/>
    <w:rsid w:val="002C6420"/>
    <w:rsid w:val="002E0EB8"/>
    <w:rsid w:val="002F22B5"/>
    <w:rsid w:val="002F3E58"/>
    <w:rsid w:val="00302F50"/>
    <w:rsid w:val="0030542C"/>
    <w:rsid w:val="00311B7A"/>
    <w:rsid w:val="00345C48"/>
    <w:rsid w:val="003831A4"/>
    <w:rsid w:val="00391FBF"/>
    <w:rsid w:val="003A613E"/>
    <w:rsid w:val="003B3EDA"/>
    <w:rsid w:val="003E4391"/>
    <w:rsid w:val="0040568B"/>
    <w:rsid w:val="00424943"/>
    <w:rsid w:val="0043175C"/>
    <w:rsid w:val="00437296"/>
    <w:rsid w:val="00443423"/>
    <w:rsid w:val="00451590"/>
    <w:rsid w:val="00451871"/>
    <w:rsid w:val="00457F66"/>
    <w:rsid w:val="004611DE"/>
    <w:rsid w:val="004706DE"/>
    <w:rsid w:val="00472923"/>
    <w:rsid w:val="00477E85"/>
    <w:rsid w:val="00480345"/>
    <w:rsid w:val="004863C0"/>
    <w:rsid w:val="004B0C3A"/>
    <w:rsid w:val="004D5788"/>
    <w:rsid w:val="004E1A7F"/>
    <w:rsid w:val="004E3066"/>
    <w:rsid w:val="004E74CD"/>
    <w:rsid w:val="00505FA0"/>
    <w:rsid w:val="00521B7E"/>
    <w:rsid w:val="00535309"/>
    <w:rsid w:val="0054029F"/>
    <w:rsid w:val="00550813"/>
    <w:rsid w:val="00555DD0"/>
    <w:rsid w:val="00572067"/>
    <w:rsid w:val="00573562"/>
    <w:rsid w:val="005752D2"/>
    <w:rsid w:val="00581034"/>
    <w:rsid w:val="00583586"/>
    <w:rsid w:val="00590ECE"/>
    <w:rsid w:val="00592F3F"/>
    <w:rsid w:val="00595FD9"/>
    <w:rsid w:val="005B519F"/>
    <w:rsid w:val="005C1631"/>
    <w:rsid w:val="006072BA"/>
    <w:rsid w:val="00613DEA"/>
    <w:rsid w:val="00614A29"/>
    <w:rsid w:val="00632255"/>
    <w:rsid w:val="00643BE3"/>
    <w:rsid w:val="00673D76"/>
    <w:rsid w:val="006854F0"/>
    <w:rsid w:val="0069538F"/>
    <w:rsid w:val="006A0A46"/>
    <w:rsid w:val="006A6BC1"/>
    <w:rsid w:val="006B06D2"/>
    <w:rsid w:val="006B1C4A"/>
    <w:rsid w:val="006B610D"/>
    <w:rsid w:val="006C2B4C"/>
    <w:rsid w:val="006D014F"/>
    <w:rsid w:val="006D06A9"/>
    <w:rsid w:val="006E49F5"/>
    <w:rsid w:val="006F109E"/>
    <w:rsid w:val="006F32D0"/>
    <w:rsid w:val="007013C8"/>
    <w:rsid w:val="00713248"/>
    <w:rsid w:val="007252F4"/>
    <w:rsid w:val="00746D03"/>
    <w:rsid w:val="007471F9"/>
    <w:rsid w:val="00753836"/>
    <w:rsid w:val="0075393C"/>
    <w:rsid w:val="00754592"/>
    <w:rsid w:val="00776C08"/>
    <w:rsid w:val="00787C78"/>
    <w:rsid w:val="007C219A"/>
    <w:rsid w:val="007E1DA8"/>
    <w:rsid w:val="007F6C26"/>
    <w:rsid w:val="00813208"/>
    <w:rsid w:val="008334AE"/>
    <w:rsid w:val="00834D86"/>
    <w:rsid w:val="00836FED"/>
    <w:rsid w:val="0083724E"/>
    <w:rsid w:val="00845271"/>
    <w:rsid w:val="00845CD2"/>
    <w:rsid w:val="00852B0D"/>
    <w:rsid w:val="00867334"/>
    <w:rsid w:val="00877459"/>
    <w:rsid w:val="00881183"/>
    <w:rsid w:val="00881692"/>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80821"/>
    <w:rsid w:val="00993FC8"/>
    <w:rsid w:val="00995BF0"/>
    <w:rsid w:val="009A16D5"/>
    <w:rsid w:val="009A353D"/>
    <w:rsid w:val="009A4D14"/>
    <w:rsid w:val="009B0B77"/>
    <w:rsid w:val="009B511E"/>
    <w:rsid w:val="009B7428"/>
    <w:rsid w:val="009D0E6B"/>
    <w:rsid w:val="009E228A"/>
    <w:rsid w:val="00A2203D"/>
    <w:rsid w:val="00A3458E"/>
    <w:rsid w:val="00A44E3D"/>
    <w:rsid w:val="00A642A5"/>
    <w:rsid w:val="00A644CE"/>
    <w:rsid w:val="00A72D2E"/>
    <w:rsid w:val="00A74447"/>
    <w:rsid w:val="00A74CE5"/>
    <w:rsid w:val="00A849DF"/>
    <w:rsid w:val="00A87F64"/>
    <w:rsid w:val="00A911E7"/>
    <w:rsid w:val="00A939D9"/>
    <w:rsid w:val="00AB3220"/>
    <w:rsid w:val="00AD7316"/>
    <w:rsid w:val="00B039ED"/>
    <w:rsid w:val="00B16644"/>
    <w:rsid w:val="00B20712"/>
    <w:rsid w:val="00B43238"/>
    <w:rsid w:val="00B45DD3"/>
    <w:rsid w:val="00B45E21"/>
    <w:rsid w:val="00B75216"/>
    <w:rsid w:val="00B91D52"/>
    <w:rsid w:val="00B9477E"/>
    <w:rsid w:val="00B9490F"/>
    <w:rsid w:val="00BA1ACD"/>
    <w:rsid w:val="00BA5DAF"/>
    <w:rsid w:val="00BC4407"/>
    <w:rsid w:val="00BC6015"/>
    <w:rsid w:val="00BD09F8"/>
    <w:rsid w:val="00BF0C22"/>
    <w:rsid w:val="00BF4863"/>
    <w:rsid w:val="00C13A4F"/>
    <w:rsid w:val="00C26A8D"/>
    <w:rsid w:val="00C5135E"/>
    <w:rsid w:val="00C735DE"/>
    <w:rsid w:val="00CA08B2"/>
    <w:rsid w:val="00CA44EC"/>
    <w:rsid w:val="00CA7176"/>
    <w:rsid w:val="00CB1CB7"/>
    <w:rsid w:val="00CB2A40"/>
    <w:rsid w:val="00CC75B0"/>
    <w:rsid w:val="00CD2773"/>
    <w:rsid w:val="00CE143B"/>
    <w:rsid w:val="00CE370E"/>
    <w:rsid w:val="00CE380F"/>
    <w:rsid w:val="00D27003"/>
    <w:rsid w:val="00D33AA2"/>
    <w:rsid w:val="00D52A41"/>
    <w:rsid w:val="00D643F8"/>
    <w:rsid w:val="00D92DBA"/>
    <w:rsid w:val="00D92E40"/>
    <w:rsid w:val="00D975B5"/>
    <w:rsid w:val="00DD32DF"/>
    <w:rsid w:val="00DE60A3"/>
    <w:rsid w:val="00E03ED3"/>
    <w:rsid w:val="00E167C7"/>
    <w:rsid w:val="00E177E8"/>
    <w:rsid w:val="00E53724"/>
    <w:rsid w:val="00E60B3B"/>
    <w:rsid w:val="00E75DEC"/>
    <w:rsid w:val="00E8404B"/>
    <w:rsid w:val="00E93430"/>
    <w:rsid w:val="00EC47F6"/>
    <w:rsid w:val="00EC4F2D"/>
    <w:rsid w:val="00EE79CC"/>
    <w:rsid w:val="00F050C6"/>
    <w:rsid w:val="00F10904"/>
    <w:rsid w:val="00F17BC1"/>
    <w:rsid w:val="00F376AB"/>
    <w:rsid w:val="00F411B5"/>
    <w:rsid w:val="00F41E83"/>
    <w:rsid w:val="00F641BA"/>
    <w:rsid w:val="00F66032"/>
    <w:rsid w:val="00F87C1E"/>
    <w:rsid w:val="00F900E9"/>
    <w:rsid w:val="00F949B2"/>
    <w:rsid w:val="00F958C2"/>
    <w:rsid w:val="00F978B2"/>
    <w:rsid w:val="00FB6467"/>
    <w:rsid w:val="00FC6144"/>
    <w:rsid w:val="00FD399F"/>
    <w:rsid w:val="00FE04CD"/>
    <w:rsid w:val="00FF4634"/>
    <w:rsid w:val="018E2023"/>
    <w:rsid w:val="11D47F7D"/>
    <w:rsid w:val="12F5334E"/>
    <w:rsid w:val="12F96A3E"/>
    <w:rsid w:val="136D22FF"/>
    <w:rsid w:val="16CB1A42"/>
    <w:rsid w:val="27EA3BB4"/>
    <w:rsid w:val="2B1B529A"/>
    <w:rsid w:val="2C787E7C"/>
    <w:rsid w:val="2D494E1C"/>
    <w:rsid w:val="2E72601C"/>
    <w:rsid w:val="371D0049"/>
    <w:rsid w:val="381A4EF1"/>
    <w:rsid w:val="416D0796"/>
    <w:rsid w:val="41825D15"/>
    <w:rsid w:val="44006482"/>
    <w:rsid w:val="44D821E7"/>
    <w:rsid w:val="47F65CB1"/>
    <w:rsid w:val="4A4E2563"/>
    <w:rsid w:val="4A880414"/>
    <w:rsid w:val="4F130904"/>
    <w:rsid w:val="50C051D9"/>
    <w:rsid w:val="53BB20CC"/>
    <w:rsid w:val="55FC00D4"/>
    <w:rsid w:val="570A71F6"/>
    <w:rsid w:val="57FD1E32"/>
    <w:rsid w:val="585A1AC2"/>
    <w:rsid w:val="58F66221"/>
    <w:rsid w:val="676E09ED"/>
    <w:rsid w:val="75DC70F5"/>
    <w:rsid w:val="7A2767C4"/>
    <w:rsid w:val="7B8D4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D23A"/>
  <w15:docId w15:val="{AE8B13AE-A1ED-46E4-8F34-B79FFC0C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9">
    <w:name w:val="Normal (Web)"/>
    <w:basedOn w:val="a"/>
    <w:uiPriority w:val="99"/>
    <w:semiHidden/>
    <w:unhideWhenUsed/>
    <w:qFormat/>
    <w:rPr>
      <w:sz w:val="24"/>
    </w:rPr>
  </w:style>
  <w:style w:type="character" w:styleId="aa">
    <w:name w:val="Strong"/>
    <w:basedOn w:val="a0"/>
    <w:uiPriority w:val="22"/>
    <w:qFormat/>
    <w:rPr>
      <w:b/>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ac">
    <w:name w:val="正文文本 + 粗体"/>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B80BD-6AD8-41E0-9AD5-55DCDF37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60</cp:revision>
  <cp:lastPrinted>2017-11-09T01:12:00Z</cp:lastPrinted>
  <dcterms:created xsi:type="dcterms:W3CDTF">2017-01-13T03:22:00Z</dcterms:created>
  <dcterms:modified xsi:type="dcterms:W3CDTF">2021-03-15T02:10:00Z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