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CF" w:rsidRDefault="00843DCF" w:rsidP="0078776E">
      <w:pPr>
        <w:spacing w:line="520" w:lineRule="exact"/>
        <w:rPr>
          <w:rFonts w:ascii="仿宋" w:eastAsia="仿宋" w:hAnsi="仿宋" w:cs="Times New Roman"/>
          <w:b/>
          <w:bCs/>
          <w:sz w:val="10"/>
          <w:szCs w:val="10"/>
        </w:rPr>
      </w:pPr>
    </w:p>
    <w:p w:rsidR="00FB3387" w:rsidRDefault="00FB3387" w:rsidP="0078776E">
      <w:pPr>
        <w:spacing w:line="520" w:lineRule="exact"/>
        <w:rPr>
          <w:rFonts w:ascii="仿宋" w:eastAsia="仿宋" w:hAnsi="仿宋" w:cs="Times New Roman"/>
          <w:b/>
          <w:bCs/>
          <w:sz w:val="10"/>
          <w:szCs w:val="10"/>
        </w:rPr>
      </w:pPr>
    </w:p>
    <w:p w:rsidR="00326655" w:rsidRDefault="00326655" w:rsidP="0078776E">
      <w:pPr>
        <w:spacing w:line="520" w:lineRule="exact"/>
        <w:rPr>
          <w:rFonts w:ascii="仿宋" w:eastAsia="仿宋" w:hAnsi="仿宋" w:cs="Times New Roman"/>
          <w:b/>
          <w:bCs/>
          <w:sz w:val="10"/>
          <w:szCs w:val="10"/>
        </w:rPr>
      </w:pPr>
    </w:p>
    <w:p w:rsidR="00F16043" w:rsidRDefault="00F16043" w:rsidP="0078776E">
      <w:pPr>
        <w:spacing w:line="520" w:lineRule="exact"/>
        <w:rPr>
          <w:rFonts w:ascii="仿宋" w:eastAsia="仿宋" w:hAnsi="仿宋" w:cs="Times New Roman"/>
          <w:b/>
          <w:bCs/>
          <w:sz w:val="10"/>
          <w:szCs w:val="10"/>
        </w:rPr>
      </w:pPr>
    </w:p>
    <w:p w:rsidR="00F16043" w:rsidRDefault="00F16043" w:rsidP="0078776E">
      <w:pPr>
        <w:spacing w:line="520" w:lineRule="exact"/>
        <w:rPr>
          <w:rFonts w:ascii="仿宋" w:eastAsia="仿宋" w:hAnsi="仿宋" w:cs="Times New Roman"/>
          <w:b/>
          <w:bCs/>
          <w:sz w:val="10"/>
          <w:szCs w:val="10"/>
        </w:rPr>
      </w:pPr>
    </w:p>
    <w:p w:rsidR="001F2173" w:rsidRDefault="001F2173" w:rsidP="0078776E">
      <w:pPr>
        <w:spacing w:line="520" w:lineRule="exact"/>
        <w:rPr>
          <w:rFonts w:ascii="仿宋" w:eastAsia="仿宋" w:hAnsi="仿宋" w:cs="Times New Roman"/>
          <w:b/>
          <w:bCs/>
          <w:sz w:val="10"/>
          <w:szCs w:val="10"/>
        </w:rPr>
      </w:pPr>
    </w:p>
    <w:p w:rsidR="00326655" w:rsidRDefault="00326655" w:rsidP="00ED3276">
      <w:pPr>
        <w:spacing w:line="520" w:lineRule="exact"/>
        <w:jc w:val="center"/>
        <w:rPr>
          <w:rFonts w:eastAsia="仿宋_GB2312" w:cs="Times New Roman"/>
          <w:bCs/>
          <w:sz w:val="32"/>
          <w:szCs w:val="32"/>
        </w:rPr>
      </w:pPr>
    </w:p>
    <w:p w:rsidR="00F16043" w:rsidRPr="001F2173" w:rsidRDefault="00ED3276" w:rsidP="00ED3276">
      <w:pPr>
        <w:spacing w:line="520" w:lineRule="exact"/>
        <w:jc w:val="center"/>
        <w:rPr>
          <w:rFonts w:ascii="仿宋_GB2312" w:eastAsia="仿宋_GB2312" w:hAnsi="仿宋" w:cs="Times New Roman"/>
          <w:bCs/>
          <w:sz w:val="32"/>
          <w:szCs w:val="32"/>
        </w:rPr>
      </w:pPr>
      <w:r w:rsidRPr="001F2173">
        <w:rPr>
          <w:rFonts w:ascii="仿宋_GB2312" w:eastAsia="仿宋_GB2312" w:hAnsi="仿宋" w:cs="Times New Roman" w:hint="eastAsia"/>
          <w:bCs/>
          <w:sz w:val="32"/>
          <w:szCs w:val="32"/>
        </w:rPr>
        <w:t>丰发改【202</w:t>
      </w:r>
      <w:r w:rsidR="008374E0">
        <w:rPr>
          <w:rFonts w:ascii="仿宋_GB2312" w:eastAsia="仿宋_GB2312" w:hAnsi="仿宋" w:cs="Times New Roman"/>
          <w:bCs/>
          <w:sz w:val="32"/>
          <w:szCs w:val="32"/>
        </w:rPr>
        <w:t>2</w:t>
      </w:r>
      <w:r w:rsidRPr="001F2173">
        <w:rPr>
          <w:rFonts w:ascii="仿宋_GB2312" w:eastAsia="仿宋_GB2312" w:hAnsi="仿宋" w:cs="Times New Roman" w:hint="eastAsia"/>
          <w:bCs/>
          <w:sz w:val="32"/>
          <w:szCs w:val="32"/>
        </w:rPr>
        <w:t>】</w:t>
      </w:r>
      <w:r w:rsidR="008374E0">
        <w:rPr>
          <w:rFonts w:ascii="仿宋_GB2312" w:eastAsia="仿宋_GB2312" w:hAnsi="仿宋" w:cs="Times New Roman"/>
          <w:bCs/>
          <w:sz w:val="32"/>
          <w:szCs w:val="32"/>
        </w:rPr>
        <w:t>6</w:t>
      </w:r>
      <w:r w:rsidR="00C16577">
        <w:rPr>
          <w:rFonts w:ascii="仿宋_GB2312" w:eastAsia="仿宋_GB2312" w:hAnsi="仿宋" w:cs="Times New Roman"/>
          <w:bCs/>
          <w:sz w:val="32"/>
          <w:szCs w:val="32"/>
        </w:rPr>
        <w:t>2</w:t>
      </w:r>
      <w:r w:rsidRPr="001F2173">
        <w:rPr>
          <w:rFonts w:ascii="仿宋_GB2312" w:eastAsia="仿宋_GB2312" w:hAnsi="仿宋" w:cs="Times New Roman" w:hint="eastAsia"/>
          <w:bCs/>
          <w:sz w:val="32"/>
          <w:szCs w:val="32"/>
        </w:rPr>
        <w:t>号</w:t>
      </w:r>
    </w:p>
    <w:p w:rsidR="001F2173" w:rsidRPr="00ED3276" w:rsidRDefault="001F2173" w:rsidP="00ED3276">
      <w:pPr>
        <w:spacing w:line="520" w:lineRule="exact"/>
        <w:jc w:val="center"/>
        <w:rPr>
          <w:rFonts w:ascii="仿宋_GB2312" w:eastAsia="仿宋_GB2312" w:hAnsi="仿宋" w:cs="Times New Roman"/>
          <w:b/>
          <w:bCs/>
          <w:sz w:val="32"/>
          <w:szCs w:val="32"/>
        </w:rPr>
      </w:pPr>
    </w:p>
    <w:p w:rsidR="00ED3276" w:rsidRDefault="00ED3276" w:rsidP="0078776E">
      <w:pPr>
        <w:spacing w:line="520" w:lineRule="exact"/>
        <w:rPr>
          <w:rFonts w:ascii="仿宋" w:eastAsia="仿宋" w:hAnsi="仿宋" w:cs="Times New Roman"/>
          <w:b/>
          <w:bCs/>
          <w:sz w:val="10"/>
          <w:szCs w:val="10"/>
        </w:rPr>
      </w:pPr>
    </w:p>
    <w:p w:rsidR="00843DCF" w:rsidRPr="001F2173" w:rsidRDefault="004E0C9C" w:rsidP="00ED3276">
      <w:pPr>
        <w:spacing w:line="56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1F2173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丰宁满族自治县发展和改革局</w:t>
      </w:r>
    </w:p>
    <w:p w:rsidR="00C16577" w:rsidRPr="00C16577" w:rsidRDefault="00C16577" w:rsidP="00C16577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_GBK" w:cs="方正小标宋_GBK"/>
          <w:b/>
          <w:sz w:val="44"/>
          <w:szCs w:val="44"/>
        </w:rPr>
      </w:pPr>
      <w:bookmarkStart w:id="0" w:name="TITLE"/>
      <w:r w:rsidRPr="00C16577">
        <w:rPr>
          <w:rFonts w:ascii="方正小标宋简体" w:eastAsia="方正小标宋简体" w:hAnsi="方正小标宋_GBK" w:cs="方正小标宋_GBK" w:hint="eastAsia"/>
          <w:b/>
          <w:sz w:val="44"/>
          <w:szCs w:val="44"/>
        </w:rPr>
        <w:t>关于印发《</w:t>
      </w:r>
      <w:bookmarkEnd w:id="0"/>
      <w:r w:rsidRPr="00C16577">
        <w:rPr>
          <w:rFonts w:ascii="方正小标宋简体" w:eastAsia="方正小标宋简体" w:hAnsi="方正小标宋_GBK" w:cs="方正小标宋_GBK" w:hint="eastAsia"/>
          <w:b/>
          <w:sz w:val="44"/>
          <w:szCs w:val="44"/>
        </w:rPr>
        <w:t>丰宁满族自治县</w:t>
      </w:r>
      <w:r w:rsidRPr="00C16577">
        <w:rPr>
          <w:rFonts w:eastAsia="方正小标宋简体" w:cs="方正小标宋_GBK" w:hint="eastAsia"/>
          <w:b/>
          <w:sz w:val="44"/>
          <w:szCs w:val="44"/>
        </w:rPr>
        <w:t>发展和改革局</w:t>
      </w:r>
      <w:r w:rsidRPr="00C16577">
        <w:rPr>
          <w:rFonts w:ascii="方正小标宋简体" w:eastAsia="方正小标宋简体" w:hAnsi="方正小标宋_GBK" w:cs="方正小标宋_GBK" w:hint="eastAsia"/>
          <w:b/>
          <w:sz w:val="44"/>
          <w:szCs w:val="44"/>
        </w:rPr>
        <w:t>随机抽查事项清单（修订版）》的通知</w:t>
      </w:r>
    </w:p>
    <w:p w:rsidR="00843DCF" w:rsidRDefault="00843DCF">
      <w:pPr>
        <w:rPr>
          <w:rFonts w:ascii="黑体" w:eastAsia="黑体" w:hAnsi="Times New Roman" w:cs="Times New Roman"/>
          <w:sz w:val="36"/>
          <w:szCs w:val="36"/>
        </w:rPr>
      </w:pPr>
    </w:p>
    <w:p w:rsidR="00843DCF" w:rsidRPr="00C16577" w:rsidRDefault="004E0C9C">
      <w:pPr>
        <w:rPr>
          <w:rFonts w:ascii="仿宋_GB2312" w:eastAsia="仿宋_GB2312" w:hAnsi="仿宋" w:cs="Times New Roman"/>
          <w:sz w:val="32"/>
          <w:szCs w:val="32"/>
        </w:rPr>
      </w:pPr>
      <w:r w:rsidRPr="00C16577">
        <w:rPr>
          <w:rFonts w:ascii="仿宋_GB2312" w:eastAsia="仿宋_GB2312" w:hAnsi="仿宋" w:cs="Times New Roman" w:hint="eastAsia"/>
          <w:sz w:val="32"/>
          <w:szCs w:val="32"/>
        </w:rPr>
        <w:t>各股室：</w:t>
      </w:r>
    </w:p>
    <w:p w:rsidR="00C16577" w:rsidRPr="00C16577" w:rsidRDefault="00C16577" w:rsidP="00C165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方正小标宋_GBK"/>
          <w:sz w:val="32"/>
          <w:szCs w:val="32"/>
        </w:rPr>
      </w:pPr>
      <w:r w:rsidRPr="00C16577">
        <w:rPr>
          <w:rFonts w:ascii="仿宋_GB2312" w:eastAsia="仿宋_GB2312" w:hAnsi="仿宋" w:cs="方正小标宋_GBK" w:hint="eastAsia"/>
          <w:sz w:val="32"/>
          <w:szCs w:val="32"/>
        </w:rPr>
        <w:t>为切实提高“双随机”抽查质量，</w:t>
      </w:r>
      <w:r w:rsidR="00FB3387">
        <w:rPr>
          <w:rFonts w:ascii="仿宋_GB2312" w:eastAsia="仿宋_GB2312" w:hAnsi="仿宋" w:cs="方正小标宋_GBK" w:hint="eastAsia"/>
          <w:sz w:val="32"/>
          <w:szCs w:val="32"/>
        </w:rPr>
        <w:t>按照县市场监管局工作要求，对随机抽查事项清单进行修订。</w:t>
      </w:r>
      <w:r w:rsidRPr="00C16577">
        <w:rPr>
          <w:rFonts w:ascii="仿宋_GB2312" w:eastAsia="仿宋_GB2312" w:hAnsi="仿宋" w:cs="仿宋_GB2312" w:hint="eastAsia"/>
          <w:snapToGrid w:val="0"/>
          <w:sz w:val="32"/>
          <w:szCs w:val="32"/>
        </w:rPr>
        <w:t>现印发《</w:t>
      </w:r>
      <w:r w:rsidRPr="00C16577">
        <w:rPr>
          <w:rFonts w:ascii="仿宋_GB2312" w:eastAsia="仿宋_GB2312" w:hAnsi="仿宋" w:cs="方正小标宋_GBK" w:hint="eastAsia"/>
          <w:sz w:val="32"/>
          <w:szCs w:val="32"/>
        </w:rPr>
        <w:t>丰宁满族自治县</w:t>
      </w:r>
      <w:r>
        <w:rPr>
          <w:rFonts w:ascii="仿宋_GB2312" w:eastAsia="仿宋_GB2312" w:hAnsi="仿宋" w:cs="方正小标宋_GBK" w:hint="eastAsia"/>
          <w:sz w:val="32"/>
          <w:szCs w:val="32"/>
        </w:rPr>
        <w:t>发展和改革</w:t>
      </w:r>
      <w:r w:rsidRPr="00C16577">
        <w:rPr>
          <w:rFonts w:ascii="仿宋_GB2312" w:eastAsia="仿宋_GB2312" w:hAnsi="仿宋" w:cs="方正小标宋_GBK" w:hint="eastAsia"/>
          <w:sz w:val="32"/>
          <w:szCs w:val="32"/>
        </w:rPr>
        <w:t>局随机抽查事项清单（修订版）》，请结合如下要求，认真贯彻执行：</w:t>
      </w:r>
    </w:p>
    <w:p w:rsidR="00C16577" w:rsidRDefault="00C16577" w:rsidP="00C165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方正小标宋_GBK"/>
          <w:sz w:val="32"/>
          <w:szCs w:val="32"/>
        </w:rPr>
      </w:pPr>
      <w:r w:rsidRPr="00C16577">
        <w:rPr>
          <w:rFonts w:ascii="仿宋_GB2312" w:eastAsia="仿宋_GB2312" w:hAnsi="仿宋" w:cs="方正小标宋_GBK" w:hint="eastAsia"/>
          <w:sz w:val="32"/>
          <w:szCs w:val="32"/>
        </w:rPr>
        <w:t>一、“双随机”抽查工作要以抽查事项清单为基础，凡纳入清单内事项必须按照“双随机”方式开展抽查检查工作，实现清单内事项全覆盖。在抽查方式上，要以年度随机抽查计划为抓手，确保内部抽查“应联必联”</w:t>
      </w:r>
      <w:r>
        <w:rPr>
          <w:rFonts w:ascii="仿宋_GB2312" w:eastAsia="仿宋_GB2312" w:hAnsi="仿宋" w:cs="方正小标宋_GBK" w:hint="eastAsia"/>
          <w:sz w:val="32"/>
          <w:szCs w:val="32"/>
        </w:rPr>
        <w:t>。</w:t>
      </w:r>
    </w:p>
    <w:p w:rsidR="00C16577" w:rsidRPr="00C16577" w:rsidRDefault="00C16577" w:rsidP="00C165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方正小标宋_GBK"/>
          <w:sz w:val="32"/>
          <w:szCs w:val="32"/>
        </w:rPr>
      </w:pPr>
      <w:r w:rsidRPr="00C16577">
        <w:rPr>
          <w:rFonts w:ascii="仿宋_GB2312" w:eastAsia="仿宋_GB2312" w:hAnsi="仿宋" w:cs="方正小标宋_GBK" w:hint="eastAsia"/>
          <w:sz w:val="32"/>
          <w:szCs w:val="32"/>
        </w:rPr>
        <w:t>二、强化“双随机”监管与重点领域监管深度融合，区</w:t>
      </w:r>
      <w:r w:rsidRPr="00C16577">
        <w:rPr>
          <w:rFonts w:ascii="仿宋_GB2312" w:eastAsia="仿宋_GB2312" w:hAnsi="仿宋" w:cs="方正小标宋_GBK" w:hint="eastAsia"/>
          <w:sz w:val="32"/>
          <w:szCs w:val="32"/>
        </w:rPr>
        <w:lastRenderedPageBreak/>
        <w:t>分重点检查事项和一般检查事项，重点检查事项针对涉及安</w:t>
      </w:r>
    </w:p>
    <w:p w:rsidR="00C16577" w:rsidRPr="00C16577" w:rsidRDefault="00C16577" w:rsidP="00C16577">
      <w:pPr>
        <w:adjustRightInd w:val="0"/>
        <w:snapToGrid w:val="0"/>
        <w:spacing w:line="600" w:lineRule="exact"/>
        <w:rPr>
          <w:rFonts w:ascii="仿宋_GB2312" w:eastAsia="仿宋_GB2312" w:hAnsi="仿宋" w:cs="方正小标宋_GBK"/>
          <w:sz w:val="32"/>
          <w:szCs w:val="32"/>
        </w:rPr>
      </w:pPr>
      <w:r w:rsidRPr="00C16577">
        <w:rPr>
          <w:rFonts w:ascii="仿宋_GB2312" w:eastAsia="仿宋_GB2312" w:hAnsi="仿宋" w:cs="方正小标宋_GBK" w:hint="eastAsia"/>
          <w:sz w:val="32"/>
          <w:szCs w:val="32"/>
        </w:rPr>
        <w:t>全、质量、公共利益等重要领域，抽查比例不设上限，抽查比例高的，可通过随机抽取的方式确定检查批次顺序。一般检查事项抽查比例要根据监管实际情况设置上限，通过合格确定抽查比例，提升监管效能。</w:t>
      </w:r>
    </w:p>
    <w:p w:rsidR="00C16577" w:rsidRPr="00C16577" w:rsidRDefault="00C16577" w:rsidP="00C1657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方正小标宋_GBK"/>
          <w:sz w:val="32"/>
          <w:szCs w:val="32"/>
        </w:rPr>
      </w:pPr>
      <w:r w:rsidRPr="00C16577">
        <w:rPr>
          <w:rFonts w:ascii="仿宋_GB2312" w:eastAsia="仿宋_GB2312" w:hAnsi="仿宋" w:cs="方正小标宋_GBK" w:hint="eastAsia"/>
          <w:sz w:val="32"/>
          <w:szCs w:val="32"/>
        </w:rPr>
        <w:t>三、深入推进企业信用风险差异化随机抽查，运用信用风险分级分类开展抽查数量占比要达到本地总抽查数的80%以上，实现“双随机”监管与企业信用风险分级分类结合常态化、全覆盖。</w:t>
      </w:r>
    </w:p>
    <w:p w:rsidR="00C16577" w:rsidRPr="00C16577" w:rsidRDefault="00C16577" w:rsidP="00C16577">
      <w:pPr>
        <w:spacing w:line="600" w:lineRule="exact"/>
        <w:ind w:leftChars="200" w:left="1380" w:hangingChars="300" w:hanging="960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</w:p>
    <w:p w:rsidR="00C16577" w:rsidRPr="00C16577" w:rsidRDefault="00C16577" w:rsidP="00C16577">
      <w:pPr>
        <w:spacing w:line="600" w:lineRule="exact"/>
        <w:ind w:leftChars="200" w:left="1380" w:hangingChars="300" w:hanging="960"/>
        <w:rPr>
          <w:rFonts w:ascii="仿宋_GB2312" w:eastAsia="仿宋_GB2312" w:hAnsi="仿宋" w:cs="仿宋_GB2312"/>
          <w:snapToGrid w:val="0"/>
          <w:color w:val="000000"/>
          <w:sz w:val="32"/>
          <w:szCs w:val="32"/>
        </w:rPr>
      </w:pPr>
      <w:r w:rsidRPr="00C16577"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附件：</w:t>
      </w:r>
      <w:r w:rsidRPr="00C16577">
        <w:rPr>
          <w:rFonts w:ascii="仿宋_GB2312" w:eastAsia="仿宋_GB2312" w:hAnsi="仿宋" w:cs="方正小标宋_GBK" w:hint="eastAsia"/>
          <w:sz w:val="32"/>
          <w:szCs w:val="32"/>
        </w:rPr>
        <w:t>丰宁满族自治县</w:t>
      </w:r>
      <w:r>
        <w:rPr>
          <w:rFonts w:ascii="仿宋_GB2312" w:eastAsia="仿宋_GB2312" w:hAnsi="仿宋" w:cs="方正小标宋_GBK" w:hint="eastAsia"/>
          <w:sz w:val="32"/>
          <w:szCs w:val="32"/>
        </w:rPr>
        <w:t>发展和改革</w:t>
      </w:r>
      <w:r w:rsidRPr="00C16577">
        <w:rPr>
          <w:rFonts w:ascii="仿宋_GB2312" w:eastAsia="仿宋_GB2312" w:hAnsi="仿宋" w:cs="方正小标宋_GBK" w:hint="eastAsia"/>
          <w:sz w:val="32"/>
          <w:szCs w:val="32"/>
        </w:rPr>
        <w:t>局随机抽查事项清单（修订版）</w:t>
      </w:r>
    </w:p>
    <w:p w:rsidR="00843DCF" w:rsidRPr="00C16577" w:rsidRDefault="00843DCF" w:rsidP="00C16577">
      <w:pPr>
        <w:rPr>
          <w:rFonts w:ascii="仿宋_GB2312" w:eastAsia="仿宋_GB2312" w:hAnsi="仿宋" w:cs="Times New Roman"/>
          <w:sz w:val="32"/>
          <w:szCs w:val="32"/>
        </w:rPr>
      </w:pPr>
    </w:p>
    <w:p w:rsidR="00AB7DED" w:rsidRPr="00C16577" w:rsidRDefault="00AB7DED" w:rsidP="00ED3276">
      <w:pPr>
        <w:rPr>
          <w:rFonts w:ascii="仿宋_GB2312" w:eastAsia="仿宋_GB2312" w:hAnsi="仿宋" w:cs="Times New Roman"/>
          <w:sz w:val="32"/>
          <w:szCs w:val="32"/>
        </w:rPr>
      </w:pPr>
    </w:p>
    <w:p w:rsidR="00843DCF" w:rsidRPr="00C16577" w:rsidRDefault="004E0C9C">
      <w:pPr>
        <w:ind w:firstLine="645"/>
        <w:jc w:val="center"/>
        <w:rPr>
          <w:rFonts w:ascii="仿宋_GB2312" w:eastAsia="仿宋_GB2312" w:hAnsi="仿宋" w:cs="Times New Roman"/>
          <w:sz w:val="32"/>
          <w:szCs w:val="32"/>
        </w:rPr>
      </w:pPr>
      <w:r w:rsidRPr="00C16577">
        <w:rPr>
          <w:rFonts w:ascii="仿宋_GB2312" w:eastAsia="仿宋_GB2312" w:hAnsi="仿宋" w:cs="Times New Roman" w:hint="eastAsia"/>
          <w:sz w:val="32"/>
          <w:szCs w:val="32"/>
        </w:rPr>
        <w:t xml:space="preserve">                   丰宁满族自治县发展和改革局</w:t>
      </w:r>
    </w:p>
    <w:p w:rsidR="00843DCF" w:rsidRDefault="004E0C9C" w:rsidP="00BD5BC9">
      <w:pPr>
        <w:wordWrap w:val="0"/>
        <w:ind w:firstLine="645"/>
        <w:jc w:val="center"/>
        <w:rPr>
          <w:rFonts w:eastAsia="仿宋_GB2312" w:cs="Times New Roman"/>
          <w:sz w:val="32"/>
          <w:szCs w:val="32"/>
        </w:rPr>
      </w:pPr>
      <w:r w:rsidRPr="00C16577"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</w:t>
      </w:r>
      <w:r w:rsidR="0078776E" w:rsidRPr="00C16577">
        <w:rPr>
          <w:rFonts w:ascii="仿宋_GB2312" w:eastAsia="仿宋_GB2312" w:hAnsi="仿宋" w:cs="Times New Roman" w:hint="eastAsia"/>
          <w:sz w:val="32"/>
          <w:szCs w:val="32"/>
        </w:rPr>
        <w:t>20</w:t>
      </w:r>
      <w:r w:rsidR="00713F8B" w:rsidRPr="00C16577">
        <w:rPr>
          <w:rFonts w:ascii="仿宋_GB2312" w:eastAsia="仿宋_GB2312" w:hAnsi="仿宋" w:cs="Times New Roman" w:hint="eastAsia"/>
          <w:sz w:val="32"/>
          <w:szCs w:val="32"/>
        </w:rPr>
        <w:t>22</w:t>
      </w:r>
      <w:r w:rsidRPr="00C16577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713F8B" w:rsidRPr="00C16577">
        <w:rPr>
          <w:rFonts w:ascii="仿宋_GB2312" w:eastAsia="仿宋_GB2312" w:hAnsi="仿宋" w:cs="Times New Roman" w:hint="eastAsia"/>
          <w:sz w:val="32"/>
          <w:szCs w:val="32"/>
        </w:rPr>
        <w:t>4</w:t>
      </w:r>
      <w:r w:rsidRPr="00C16577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FB3387">
        <w:rPr>
          <w:rFonts w:ascii="仿宋_GB2312" w:eastAsia="仿宋_GB2312" w:hAnsi="仿宋" w:cs="Times New Roman" w:hint="eastAsia"/>
          <w:sz w:val="32"/>
          <w:szCs w:val="32"/>
        </w:rPr>
        <w:t>7</w:t>
      </w:r>
      <w:r w:rsidRPr="00C16577">
        <w:rPr>
          <w:rFonts w:ascii="仿宋_GB2312" w:eastAsia="仿宋_GB2312" w:hAnsi="仿宋" w:cs="Times New Roman" w:hint="eastAsia"/>
          <w:sz w:val="32"/>
          <w:szCs w:val="32"/>
        </w:rPr>
        <w:t>日</w:t>
      </w:r>
    </w:p>
    <w:p w:rsidR="00D97729" w:rsidRDefault="00D97729" w:rsidP="00BD5BC9">
      <w:pPr>
        <w:wordWrap w:val="0"/>
        <w:ind w:firstLine="645"/>
        <w:jc w:val="center"/>
        <w:rPr>
          <w:rFonts w:eastAsia="仿宋_GB2312" w:cs="Times New Roman"/>
          <w:sz w:val="32"/>
          <w:szCs w:val="32"/>
        </w:rPr>
      </w:pPr>
    </w:p>
    <w:p w:rsidR="00D97729" w:rsidRDefault="00D97729" w:rsidP="00BD5BC9">
      <w:pPr>
        <w:wordWrap w:val="0"/>
        <w:ind w:firstLine="645"/>
        <w:jc w:val="center"/>
        <w:rPr>
          <w:rFonts w:eastAsia="仿宋_GB2312" w:cs="Times New Roman"/>
          <w:sz w:val="32"/>
          <w:szCs w:val="32"/>
        </w:rPr>
      </w:pPr>
    </w:p>
    <w:p w:rsidR="00D97729" w:rsidRDefault="00D97729" w:rsidP="00BD5BC9">
      <w:pPr>
        <w:wordWrap w:val="0"/>
        <w:ind w:firstLine="645"/>
        <w:jc w:val="center"/>
        <w:rPr>
          <w:rFonts w:eastAsia="仿宋_GB2312" w:cs="Times New Roman"/>
          <w:sz w:val="32"/>
          <w:szCs w:val="32"/>
        </w:rPr>
      </w:pPr>
    </w:p>
    <w:p w:rsidR="00D97729" w:rsidRDefault="00D97729" w:rsidP="00BD5BC9">
      <w:pPr>
        <w:wordWrap w:val="0"/>
        <w:ind w:firstLine="645"/>
        <w:jc w:val="center"/>
        <w:rPr>
          <w:rFonts w:eastAsia="仿宋_GB2312" w:cs="Times New Roman"/>
          <w:sz w:val="32"/>
          <w:szCs w:val="32"/>
        </w:rPr>
      </w:pPr>
    </w:p>
    <w:p w:rsidR="00D97729" w:rsidRDefault="00D97729" w:rsidP="00BD5BC9">
      <w:pPr>
        <w:wordWrap w:val="0"/>
        <w:ind w:firstLine="645"/>
        <w:jc w:val="center"/>
        <w:rPr>
          <w:rFonts w:eastAsia="仿宋_GB2312" w:cs="Times New Roman"/>
          <w:sz w:val="32"/>
          <w:szCs w:val="32"/>
        </w:rPr>
      </w:pPr>
    </w:p>
    <w:p w:rsidR="00D97729" w:rsidRDefault="00D97729" w:rsidP="00BD5BC9">
      <w:pPr>
        <w:wordWrap w:val="0"/>
        <w:ind w:firstLine="645"/>
        <w:jc w:val="center"/>
        <w:rPr>
          <w:rFonts w:eastAsia="仿宋_GB2312" w:cs="Times New Roman"/>
          <w:sz w:val="32"/>
          <w:szCs w:val="32"/>
        </w:rPr>
      </w:pPr>
    </w:p>
    <w:p w:rsidR="00D97729" w:rsidRDefault="00D97729" w:rsidP="00D97729">
      <w:pPr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lastRenderedPageBreak/>
        <w:t>附件：</w:t>
      </w:r>
    </w:p>
    <w:p w:rsidR="00D97729" w:rsidRDefault="00D97729" w:rsidP="00D97729">
      <w:pPr>
        <w:jc w:val="left"/>
        <w:rPr>
          <w:rFonts w:eastAsia="仿宋_GB2312" w:cs="Times New Roman"/>
          <w:sz w:val="32"/>
          <w:szCs w:val="32"/>
        </w:rPr>
      </w:pPr>
    </w:p>
    <w:tbl>
      <w:tblPr>
        <w:tblW w:w="9908" w:type="dxa"/>
        <w:jc w:val="center"/>
        <w:tblInd w:w="93" w:type="dxa"/>
        <w:tblLook w:val="04A0"/>
      </w:tblPr>
      <w:tblGrid>
        <w:gridCol w:w="580"/>
        <w:gridCol w:w="2000"/>
        <w:gridCol w:w="1660"/>
        <w:gridCol w:w="1060"/>
        <w:gridCol w:w="1206"/>
        <w:gridCol w:w="1234"/>
        <w:gridCol w:w="2168"/>
      </w:tblGrid>
      <w:tr w:rsidR="001E79C6" w:rsidRPr="001E79C6" w:rsidTr="00CE76C9">
        <w:trPr>
          <w:trHeight w:val="1002"/>
          <w:jc w:val="center"/>
        </w:trPr>
        <w:tc>
          <w:tcPr>
            <w:tcW w:w="9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1E79C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丰宁满族自治县发展和改革局随机抽查事项清单（修订版）</w:t>
            </w:r>
          </w:p>
        </w:tc>
      </w:tr>
      <w:tr w:rsidR="001E79C6" w:rsidRPr="001E79C6" w:rsidTr="00CE76C9">
        <w:trPr>
          <w:trHeight w:val="402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E79C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E79C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E79C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E79C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E79C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E79C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检查主体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E79C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检查依据</w:t>
            </w:r>
          </w:p>
        </w:tc>
      </w:tr>
      <w:tr w:rsidR="001E79C6" w:rsidRPr="001E79C6" w:rsidTr="00CE76C9">
        <w:trPr>
          <w:trHeight w:val="402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C6" w:rsidRPr="001E79C6" w:rsidRDefault="001E79C6" w:rsidP="001E79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9C6" w:rsidRPr="001E79C6" w:rsidRDefault="001E79C6" w:rsidP="001E79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C6" w:rsidRPr="001E79C6" w:rsidRDefault="001E79C6" w:rsidP="001E79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C6" w:rsidRPr="001E79C6" w:rsidRDefault="001E79C6" w:rsidP="001E79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C6" w:rsidRPr="001E79C6" w:rsidRDefault="001E79C6" w:rsidP="001E79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C6" w:rsidRPr="001E79C6" w:rsidRDefault="001E79C6" w:rsidP="001E79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C6" w:rsidRPr="001E79C6" w:rsidRDefault="001E79C6" w:rsidP="001E79C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9C6" w:rsidRPr="001E79C6" w:rsidTr="00CE76C9">
        <w:trPr>
          <w:trHeight w:val="12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C6" w:rsidRPr="001E79C6" w:rsidRDefault="001E79C6" w:rsidP="001E79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中央预算内投资补助和贴息资金项目实施情况监督检查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中央预算内投资补助和贴息资金项目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书面审查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丰宁满族自治县发展和改革局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C6" w:rsidRPr="001E79C6" w:rsidRDefault="001E79C6" w:rsidP="001E79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《中央预算内投资补助和贴息项目管理办法》第二十四条</w:t>
            </w:r>
          </w:p>
        </w:tc>
      </w:tr>
      <w:tr w:rsidR="001E79C6" w:rsidRPr="001E79C6" w:rsidTr="00CE76C9">
        <w:trPr>
          <w:trHeight w:val="169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C6" w:rsidRPr="001E79C6" w:rsidRDefault="001E79C6" w:rsidP="001E79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煤炭替代方案落实情况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C6" w:rsidRPr="001E79C6" w:rsidRDefault="001E79C6" w:rsidP="00CE76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用煤项目企业新上用煤投资项目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书面审查</w:t>
            </w: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现场检查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C6" w:rsidRPr="001E79C6" w:rsidRDefault="001E79C6" w:rsidP="001E79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丰宁满族自治县发展和改革局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9C6" w:rsidRPr="001E79C6" w:rsidRDefault="001E79C6" w:rsidP="001E79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79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《河北省用煤投资项目煤炭替代管理办法》</w:t>
            </w:r>
          </w:p>
        </w:tc>
      </w:tr>
    </w:tbl>
    <w:p w:rsidR="00D97729" w:rsidRPr="00D97729" w:rsidRDefault="00D97729" w:rsidP="00D97729">
      <w:pPr>
        <w:jc w:val="left"/>
        <w:rPr>
          <w:rFonts w:eastAsia="仿宋_GB2312" w:cs="Times New Roman"/>
          <w:sz w:val="32"/>
          <w:szCs w:val="32"/>
        </w:rPr>
      </w:pPr>
    </w:p>
    <w:sectPr w:rsidR="00D97729" w:rsidRPr="00D97729" w:rsidSect="00BF1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EA" w:rsidRDefault="000170EA" w:rsidP="00713F8B">
      <w:r>
        <w:separator/>
      </w:r>
    </w:p>
  </w:endnote>
  <w:endnote w:type="continuationSeparator" w:id="0">
    <w:p w:rsidR="000170EA" w:rsidRDefault="000170EA" w:rsidP="0071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EA" w:rsidRDefault="000170EA" w:rsidP="00713F8B">
      <w:r>
        <w:separator/>
      </w:r>
    </w:p>
  </w:footnote>
  <w:footnote w:type="continuationSeparator" w:id="0">
    <w:p w:rsidR="000170EA" w:rsidRDefault="000170EA" w:rsidP="00713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B80"/>
    <w:rsid w:val="00002324"/>
    <w:rsid w:val="00015243"/>
    <w:rsid w:val="000170EA"/>
    <w:rsid w:val="00076005"/>
    <w:rsid w:val="000C51CF"/>
    <w:rsid w:val="000C70AE"/>
    <w:rsid w:val="001530B3"/>
    <w:rsid w:val="00193C48"/>
    <w:rsid w:val="001E79C6"/>
    <w:rsid w:val="001F2173"/>
    <w:rsid w:val="002274A7"/>
    <w:rsid w:val="002818E2"/>
    <w:rsid w:val="002A0FDB"/>
    <w:rsid w:val="002D52E0"/>
    <w:rsid w:val="002F6F23"/>
    <w:rsid w:val="00326655"/>
    <w:rsid w:val="00380E5C"/>
    <w:rsid w:val="00450D4F"/>
    <w:rsid w:val="004522EA"/>
    <w:rsid w:val="004811D9"/>
    <w:rsid w:val="004C5126"/>
    <w:rsid w:val="004D0B80"/>
    <w:rsid w:val="004E0C9C"/>
    <w:rsid w:val="00523A61"/>
    <w:rsid w:val="005449A0"/>
    <w:rsid w:val="00592739"/>
    <w:rsid w:val="005B014D"/>
    <w:rsid w:val="00623CA5"/>
    <w:rsid w:val="0064644E"/>
    <w:rsid w:val="006553BD"/>
    <w:rsid w:val="006655A1"/>
    <w:rsid w:val="006A32BB"/>
    <w:rsid w:val="00713F8B"/>
    <w:rsid w:val="00731D2E"/>
    <w:rsid w:val="0074769A"/>
    <w:rsid w:val="0078776E"/>
    <w:rsid w:val="007B2D43"/>
    <w:rsid w:val="007B79F8"/>
    <w:rsid w:val="008374E0"/>
    <w:rsid w:val="00843DCF"/>
    <w:rsid w:val="00867E6A"/>
    <w:rsid w:val="0098647F"/>
    <w:rsid w:val="009C67D5"/>
    <w:rsid w:val="009F6A59"/>
    <w:rsid w:val="00A167E5"/>
    <w:rsid w:val="00A33987"/>
    <w:rsid w:val="00AB7DED"/>
    <w:rsid w:val="00AB7E62"/>
    <w:rsid w:val="00B54052"/>
    <w:rsid w:val="00BA5BAA"/>
    <w:rsid w:val="00BC6D96"/>
    <w:rsid w:val="00BD5BC9"/>
    <w:rsid w:val="00BF1C4C"/>
    <w:rsid w:val="00C12014"/>
    <w:rsid w:val="00C13E96"/>
    <w:rsid w:val="00C16577"/>
    <w:rsid w:val="00C16A4D"/>
    <w:rsid w:val="00C40EFD"/>
    <w:rsid w:val="00C43C43"/>
    <w:rsid w:val="00C5677D"/>
    <w:rsid w:val="00C62186"/>
    <w:rsid w:val="00C7441A"/>
    <w:rsid w:val="00CE60E3"/>
    <w:rsid w:val="00CE76C9"/>
    <w:rsid w:val="00D36532"/>
    <w:rsid w:val="00D97729"/>
    <w:rsid w:val="00E31A3C"/>
    <w:rsid w:val="00EA6CD3"/>
    <w:rsid w:val="00ED3276"/>
    <w:rsid w:val="00F02807"/>
    <w:rsid w:val="00F03D7D"/>
    <w:rsid w:val="00F16043"/>
    <w:rsid w:val="00F93CA3"/>
    <w:rsid w:val="00FB3387"/>
    <w:rsid w:val="00FC3642"/>
    <w:rsid w:val="76F7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1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F1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F1C4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C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F1C4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9772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9772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z</dc:creator>
  <cp:lastModifiedBy>Administrator</cp:lastModifiedBy>
  <cp:revision>67</cp:revision>
  <cp:lastPrinted>2021-07-15T01:33:00Z</cp:lastPrinted>
  <dcterms:created xsi:type="dcterms:W3CDTF">2018-05-24T07:58:00Z</dcterms:created>
  <dcterms:modified xsi:type="dcterms:W3CDTF">2022-04-08T01:38:00Z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