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imes New Roman" w:hAnsi="Times New Roman" w:eastAsia="黑体" w:cs="Times New Roman"/>
          <w:b/>
          <w:sz w:val="44"/>
          <w:szCs w:val="44"/>
        </w:rPr>
      </w:pPr>
      <w:r>
        <w:rPr>
          <w:rFonts w:ascii="Times New Roman" w:hAnsi="Times New Roman" w:eastAsia="黑体" w:cs="Times New Roman"/>
          <w:b/>
          <w:sz w:val="44"/>
          <w:szCs w:val="44"/>
        </w:rPr>
        <w:t>丰宁县扶贫和农业开发办公室2018年部门预算信息公开</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按照《中华人民共和国预算法》、《地方预决算公开操作规程》和《河北省省级预算公开办法》规定，现将丰宁县扶贫和农业开发办公室2018年部门预算公开如下：</w:t>
      </w:r>
    </w:p>
    <w:p>
      <w:pPr>
        <w:ind w:firstLine="64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部门职责：</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（一）贯彻落实国家、省、市各项扶贫开发方针政策和法律法规;组织拟订全县扶贫开发中长期规划和制订相关政策；负责扶贫开发项目的规划、立项和储备工作。</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（二）负责全县贫困状况的统计监测工作；负责组织落实国家专项扶贫资金投入扶持项目的申报并组织实施；负责监督检查扶贫专项资金、物资的管理使用情况。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组织协调社会各界参与扶贫开发工作，联络中央、省、市直国家机关和民主党派、群众团体、部队、发达地区部门单位、大专院校对口帮扶贫困村工作；负责扶贫开发的国际交流与合作；组织协调县直以下单位的帮扶工作；协调社会各行业职能部门的扶贫投入。</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（四）负责社会各界扶贫捐赠资金、物资的接收和管理工作；拟订扶贫开发资金、物资的分配使用计划。</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（五）认定和管理扶贫龙头企业，负责扶贫龙头企业、扶贫产业生产基地建设的扶持政策落实等产业化扶贫工作。</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（六）负责组织扶贫开发重大问题和事项的调查研究，了解和收集扶贫开发信息；负责扶贫开发宣传工作。</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（七）组织实施县内县、乡、村各级干部的扶贫业务培训和贫困劳动力转移培训工作，组织扶贫实用技术与推广工作。</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（八）贯彻、执行国家农业综合开发方针、政策；编制全县农业综合开发总体规划；负责项目推荐、评估论证和申报，经批准后组织实施、检查验收，落实项目工程管护主体。</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部门机构设置情况</w:t>
      </w:r>
    </w:p>
    <w:tbl>
      <w:tblPr>
        <w:tblStyle w:val="9"/>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43" w:type="dxa"/>
            <w:vMerge w:val="restart"/>
            <w:shd w:val="clear" w:color="auto" w:fill="auto"/>
            <w:vAlign w:val="center"/>
          </w:tcPr>
          <w:p>
            <w:pPr>
              <w:spacing w:line="300" w:lineRule="exact"/>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单位名称</w:t>
            </w:r>
          </w:p>
        </w:tc>
        <w:tc>
          <w:tcPr>
            <w:tcW w:w="1134" w:type="dxa"/>
            <w:vMerge w:val="restart"/>
            <w:shd w:val="clear" w:color="auto" w:fill="auto"/>
            <w:vAlign w:val="center"/>
          </w:tcPr>
          <w:p>
            <w:pPr>
              <w:spacing w:line="300" w:lineRule="exact"/>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单位性质</w:t>
            </w:r>
          </w:p>
        </w:tc>
        <w:tc>
          <w:tcPr>
            <w:tcW w:w="1276" w:type="dxa"/>
            <w:vMerge w:val="restart"/>
            <w:shd w:val="clear" w:color="auto" w:fill="auto"/>
            <w:vAlign w:val="center"/>
          </w:tcPr>
          <w:p>
            <w:pPr>
              <w:spacing w:line="300" w:lineRule="exact"/>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单位规格</w:t>
            </w:r>
          </w:p>
        </w:tc>
        <w:tc>
          <w:tcPr>
            <w:tcW w:w="2902" w:type="dxa"/>
            <w:vMerge w:val="restart"/>
            <w:shd w:val="clear" w:color="auto" w:fill="auto"/>
            <w:vAlign w:val="center"/>
          </w:tcPr>
          <w:p>
            <w:pPr>
              <w:spacing w:line="300" w:lineRule="exact"/>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43" w:type="dxa"/>
            <w:vMerge w:val="continue"/>
            <w:shd w:val="clear" w:color="auto" w:fill="auto"/>
            <w:vAlign w:val="center"/>
          </w:tcPr>
          <w:p>
            <w:pPr>
              <w:spacing w:line="300" w:lineRule="exact"/>
              <w:jc w:val="left"/>
              <w:outlineLvl w:val="0"/>
              <w:rPr>
                <w:rFonts w:ascii="方正仿宋_GBK" w:hAnsi="方正仿宋_GBK" w:eastAsia="方正仿宋_GBK" w:cs="方正仿宋_GBK"/>
                <w:szCs w:val="21"/>
              </w:rPr>
            </w:pPr>
          </w:p>
        </w:tc>
        <w:tc>
          <w:tcPr>
            <w:tcW w:w="1134" w:type="dxa"/>
            <w:vMerge w:val="continue"/>
            <w:shd w:val="clear" w:color="auto" w:fill="auto"/>
            <w:vAlign w:val="center"/>
          </w:tcPr>
          <w:p>
            <w:pPr>
              <w:spacing w:line="300" w:lineRule="exact"/>
              <w:jc w:val="left"/>
              <w:outlineLvl w:val="0"/>
              <w:rPr>
                <w:rFonts w:ascii="方正仿宋_GBK" w:hAnsi="方正仿宋_GBK" w:eastAsia="方正仿宋_GBK" w:cs="方正仿宋_GBK"/>
                <w:szCs w:val="21"/>
              </w:rPr>
            </w:pPr>
          </w:p>
        </w:tc>
        <w:tc>
          <w:tcPr>
            <w:tcW w:w="1276" w:type="dxa"/>
            <w:vMerge w:val="continue"/>
            <w:shd w:val="clear" w:color="auto" w:fill="auto"/>
            <w:vAlign w:val="center"/>
          </w:tcPr>
          <w:p>
            <w:pPr>
              <w:spacing w:line="300" w:lineRule="exact"/>
              <w:jc w:val="left"/>
              <w:outlineLvl w:val="0"/>
              <w:rPr>
                <w:rFonts w:ascii="方正仿宋_GBK" w:hAnsi="方正仿宋_GBK" w:eastAsia="方正仿宋_GBK" w:cs="方正仿宋_GBK"/>
                <w:szCs w:val="21"/>
              </w:rPr>
            </w:pPr>
          </w:p>
        </w:tc>
        <w:tc>
          <w:tcPr>
            <w:tcW w:w="2902" w:type="dxa"/>
            <w:vMerge w:val="continue"/>
            <w:shd w:val="clear" w:color="auto" w:fill="auto"/>
            <w:vAlign w:val="center"/>
          </w:tcPr>
          <w:p>
            <w:pPr>
              <w:spacing w:line="300" w:lineRule="exact"/>
              <w:jc w:val="left"/>
              <w:outlineLvl w:val="0"/>
              <w:rPr>
                <w:rFonts w:ascii="方正仿宋_GBK" w:hAnsi="方正仿宋_GBK" w:eastAsia="方正仿宋_GBK" w:cs="方正仿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bCs/>
                <w:szCs w:val="21"/>
              </w:rPr>
              <w:t>党政办公室</w:t>
            </w:r>
          </w:p>
        </w:tc>
        <w:tc>
          <w:tcPr>
            <w:tcW w:w="1134"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事业</w:t>
            </w:r>
          </w:p>
        </w:tc>
        <w:tc>
          <w:tcPr>
            <w:tcW w:w="1276"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股级</w:t>
            </w:r>
          </w:p>
        </w:tc>
        <w:tc>
          <w:tcPr>
            <w:tcW w:w="2902"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综合股</w:t>
            </w:r>
          </w:p>
        </w:tc>
        <w:tc>
          <w:tcPr>
            <w:tcW w:w="1134"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事业</w:t>
            </w:r>
          </w:p>
        </w:tc>
        <w:tc>
          <w:tcPr>
            <w:tcW w:w="1276"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股级</w:t>
            </w:r>
          </w:p>
        </w:tc>
        <w:tc>
          <w:tcPr>
            <w:tcW w:w="2902"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bCs/>
                <w:szCs w:val="21"/>
              </w:rPr>
              <w:t>扶贫项目股</w:t>
            </w:r>
          </w:p>
        </w:tc>
        <w:tc>
          <w:tcPr>
            <w:tcW w:w="1134"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事业</w:t>
            </w:r>
          </w:p>
        </w:tc>
        <w:tc>
          <w:tcPr>
            <w:tcW w:w="1276"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股级</w:t>
            </w:r>
          </w:p>
        </w:tc>
        <w:tc>
          <w:tcPr>
            <w:tcW w:w="2902"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bCs/>
                <w:szCs w:val="21"/>
              </w:rPr>
              <w:t>督查评审股</w:t>
            </w:r>
          </w:p>
        </w:tc>
        <w:tc>
          <w:tcPr>
            <w:tcW w:w="1134"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事业</w:t>
            </w:r>
          </w:p>
        </w:tc>
        <w:tc>
          <w:tcPr>
            <w:tcW w:w="1276"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股级</w:t>
            </w:r>
          </w:p>
        </w:tc>
        <w:tc>
          <w:tcPr>
            <w:tcW w:w="2902"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bCs/>
                <w:szCs w:val="21"/>
              </w:rPr>
              <w:t>社会扶贫股</w:t>
            </w:r>
          </w:p>
        </w:tc>
        <w:tc>
          <w:tcPr>
            <w:tcW w:w="1134"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事业</w:t>
            </w:r>
          </w:p>
        </w:tc>
        <w:tc>
          <w:tcPr>
            <w:tcW w:w="1276"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股级</w:t>
            </w:r>
          </w:p>
        </w:tc>
        <w:tc>
          <w:tcPr>
            <w:tcW w:w="2902"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bCs/>
                <w:szCs w:val="21"/>
              </w:rPr>
              <w:t>土地治理项目股</w:t>
            </w:r>
          </w:p>
        </w:tc>
        <w:tc>
          <w:tcPr>
            <w:tcW w:w="1134"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事业</w:t>
            </w:r>
          </w:p>
        </w:tc>
        <w:tc>
          <w:tcPr>
            <w:tcW w:w="1276"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股级</w:t>
            </w:r>
          </w:p>
        </w:tc>
        <w:tc>
          <w:tcPr>
            <w:tcW w:w="2902"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bCs/>
                <w:szCs w:val="21"/>
              </w:rPr>
              <w:t>产业化项目股</w:t>
            </w:r>
          </w:p>
        </w:tc>
        <w:tc>
          <w:tcPr>
            <w:tcW w:w="1134"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事业</w:t>
            </w:r>
          </w:p>
        </w:tc>
        <w:tc>
          <w:tcPr>
            <w:tcW w:w="1276"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股级</w:t>
            </w:r>
          </w:p>
        </w:tc>
        <w:tc>
          <w:tcPr>
            <w:tcW w:w="2902" w:type="dxa"/>
            <w:shd w:val="clear" w:color="auto" w:fill="auto"/>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财政性资金基本保证</w:t>
            </w:r>
          </w:p>
        </w:tc>
      </w:tr>
    </w:tbl>
    <w:p>
      <w:pPr>
        <w:autoSpaceDE w:val="0"/>
        <w:autoSpaceDN w:val="0"/>
        <w:adjustRightInd w:val="0"/>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部门预算单位构成：</w:t>
      </w:r>
    </w:p>
    <w:p>
      <w:pPr>
        <w:autoSpaceDE w:val="0"/>
        <w:autoSpaceDN w:val="0"/>
        <w:adjustRightInd w:val="0"/>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本单位无下设单位，本次公开的预算包含扶贫和农业开发办公室机关本级预算。</w:t>
      </w:r>
    </w:p>
    <w:p>
      <w:pPr>
        <w:ind w:firstLine="64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按照预算管理有关规定，目前我县部门预算的编制实行综合预算制度，即全部收入和支出都反映在预算中。丰宁县扶贫和农业开发办公室的收支包含在部门预算中。</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反映本部门当年全部收入。2018年预算收入23675.37万元，其中：一般公共预算收入23675.37万元，基金预算收入0.00万元，其他来源收入0.00万元。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丰宁县扶贫和农业开发办公室年度部门预算中支出预算的总体情况。2018年支出预算23675.37万元，其中基本支出375.37万元，包括人员经费359.84万元和日常公用经费15.53万元；项目支出23300万元，其中：本级支出23300万元（其他国有土地使用权出让收入安排的支出47万元，行政运行支出136万元，农村基础设施支出2000万元，其他扶贫支出16276万元，土地治理支出4841万元），对下补助0.00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Times New Roman" w:hAnsi="Times New Roman" w:eastAsia="仿宋_GB2312" w:cs="Times New Roman"/>
          <w:sz w:val="32"/>
          <w:szCs w:val="32"/>
        </w:rPr>
      </w:pPr>
      <w:r>
        <w:rPr>
          <w:rFonts w:ascii="Times New Roman" w:hAnsi="Times New Roman" w:eastAsia="方正仿宋_GBK" w:cs="Times New Roman"/>
          <w:sz w:val="32"/>
          <w:szCs w:val="32"/>
        </w:rPr>
        <w:t>2018年预算收支安排23675.37万元，较2017年预算增加13404.01万元，其中：基本支出增加40.01万元，主要为增加人员经费支出；项目支出较2017年实际安排增加13364万元，主要用于增加项目资金投入。</w:t>
      </w:r>
    </w:p>
    <w:p>
      <w:pPr>
        <w:autoSpaceDE w:val="0"/>
        <w:autoSpaceDN w:val="0"/>
        <w:adjustRightInd w:val="0"/>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2018年，我单位机关运行经费共计安排</w:t>
      </w:r>
      <w:r>
        <w:rPr>
          <w:rFonts w:hint="eastAsia" w:ascii="Times New Roman" w:hAnsi="Times New Roman" w:eastAsia="方正仿宋_GBK" w:cs="Times New Roman"/>
          <w:sz w:val="32"/>
          <w:szCs w:val="32"/>
        </w:rPr>
        <w:t>15.53</w:t>
      </w:r>
      <w:r>
        <w:rPr>
          <w:rFonts w:ascii="Times New Roman" w:hAnsi="Times New Roman" w:eastAsia="方正仿宋_GBK" w:cs="Times New Roman"/>
          <w:sz w:val="32"/>
          <w:szCs w:val="32"/>
        </w:rPr>
        <w:t>万元，主要用于办公费</w:t>
      </w:r>
      <w:r>
        <w:rPr>
          <w:rFonts w:hint="eastAsia" w:ascii="Times New Roman" w:hAnsi="Times New Roman" w:eastAsia="方正仿宋_GBK" w:cs="Times New Roman"/>
          <w:sz w:val="32"/>
          <w:szCs w:val="32"/>
        </w:rPr>
        <w:t>0.02万元</w:t>
      </w:r>
      <w:r>
        <w:rPr>
          <w:rFonts w:ascii="Times New Roman" w:hAnsi="Times New Roman" w:eastAsia="方正仿宋_GBK" w:cs="Times New Roman"/>
          <w:sz w:val="32"/>
          <w:szCs w:val="32"/>
        </w:rPr>
        <w:t>、印刷费</w:t>
      </w:r>
      <w:r>
        <w:rPr>
          <w:rFonts w:hint="eastAsia" w:ascii="Times New Roman" w:hAnsi="Times New Roman" w:eastAsia="方正仿宋_GBK" w:cs="Times New Roman"/>
          <w:sz w:val="32"/>
          <w:szCs w:val="32"/>
        </w:rPr>
        <w:t>0.68万元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水费0.2万元、</w:t>
      </w:r>
      <w:r>
        <w:rPr>
          <w:rFonts w:ascii="Times New Roman" w:hAnsi="Times New Roman" w:eastAsia="方正仿宋_GBK" w:cs="Times New Roman"/>
          <w:sz w:val="32"/>
          <w:szCs w:val="32"/>
        </w:rPr>
        <w:t>电费</w:t>
      </w:r>
      <w:r>
        <w:rPr>
          <w:rFonts w:hint="eastAsia" w:ascii="Times New Roman" w:hAnsi="Times New Roman" w:eastAsia="方正仿宋_GBK" w:cs="Times New Roman"/>
          <w:sz w:val="32"/>
          <w:szCs w:val="32"/>
        </w:rPr>
        <w:t>0.5万元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邮电费0.3万元、取暖费1万元、</w:t>
      </w:r>
      <w:r>
        <w:rPr>
          <w:rFonts w:ascii="Times New Roman" w:hAnsi="Times New Roman" w:eastAsia="方正仿宋_GBK" w:cs="Times New Roman"/>
          <w:sz w:val="32"/>
          <w:szCs w:val="32"/>
        </w:rPr>
        <w:t>差旅费</w:t>
      </w:r>
      <w:r>
        <w:rPr>
          <w:rFonts w:hint="eastAsia" w:ascii="Times New Roman" w:hAnsi="Times New Roman" w:eastAsia="方正仿宋_GBK" w:cs="Times New Roman"/>
          <w:sz w:val="32"/>
          <w:szCs w:val="32"/>
        </w:rPr>
        <w:t>1.5万元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培训费0.18万元、公务接待费0.22万元、</w:t>
      </w:r>
      <w:r>
        <w:rPr>
          <w:rFonts w:ascii="Times New Roman" w:hAnsi="Times New Roman" w:eastAsia="方正仿宋_GBK" w:cs="Times New Roman"/>
          <w:sz w:val="32"/>
          <w:szCs w:val="32"/>
        </w:rPr>
        <w:t>工会经费</w:t>
      </w:r>
      <w:r>
        <w:rPr>
          <w:rFonts w:hint="eastAsia" w:ascii="Times New Roman" w:hAnsi="Times New Roman" w:eastAsia="方正仿宋_GBK" w:cs="Times New Roman"/>
          <w:sz w:val="32"/>
          <w:szCs w:val="32"/>
        </w:rPr>
        <w:t>3.27万元</w:t>
      </w:r>
      <w:r>
        <w:rPr>
          <w:rFonts w:ascii="Times New Roman" w:hAnsi="Times New Roman" w:eastAsia="方正仿宋_GBK" w:cs="Times New Roman"/>
          <w:sz w:val="32"/>
          <w:szCs w:val="32"/>
        </w:rPr>
        <w:t>、福利费</w:t>
      </w:r>
      <w:r>
        <w:rPr>
          <w:rFonts w:hint="eastAsia" w:ascii="Times New Roman" w:hAnsi="Times New Roman" w:eastAsia="方正仿宋_GBK" w:cs="Times New Roman"/>
          <w:sz w:val="32"/>
          <w:szCs w:val="32"/>
        </w:rPr>
        <w:t>4.86万元</w:t>
      </w:r>
      <w:r>
        <w:rPr>
          <w:rFonts w:ascii="Times New Roman" w:hAnsi="Times New Roman" w:eastAsia="方正仿宋_GBK" w:cs="Times New Roman"/>
          <w:sz w:val="32"/>
          <w:szCs w:val="32"/>
        </w:rPr>
        <w:t>、公务用车运行维护费</w:t>
      </w:r>
      <w:r>
        <w:rPr>
          <w:rFonts w:hint="eastAsia" w:ascii="Times New Roman" w:hAnsi="Times New Roman" w:eastAsia="方正仿宋_GBK" w:cs="Times New Roman"/>
          <w:sz w:val="32"/>
          <w:szCs w:val="32"/>
        </w:rPr>
        <w:t>0.8万元、</w:t>
      </w:r>
      <w:r>
        <w:rPr>
          <w:rFonts w:ascii="Times New Roman" w:hAnsi="Times New Roman" w:eastAsia="方正仿宋_GBK" w:cs="Times New Roman"/>
          <w:sz w:val="32"/>
          <w:szCs w:val="32"/>
        </w:rPr>
        <w:t>其他</w:t>
      </w:r>
      <w:r>
        <w:rPr>
          <w:rFonts w:hint="eastAsia" w:ascii="Times New Roman" w:hAnsi="Times New Roman" w:eastAsia="方正仿宋_GBK" w:cs="Times New Roman"/>
          <w:sz w:val="32"/>
          <w:szCs w:val="32"/>
        </w:rPr>
        <w:t>商品和服务支出1.2万元、办公</w:t>
      </w:r>
      <w:r>
        <w:rPr>
          <w:rFonts w:ascii="Times New Roman" w:hAnsi="Times New Roman" w:eastAsia="方正仿宋_GBK" w:cs="Times New Roman"/>
          <w:sz w:val="32"/>
          <w:szCs w:val="32"/>
        </w:rPr>
        <w:t>设备购置费</w:t>
      </w:r>
      <w:r>
        <w:rPr>
          <w:rFonts w:hint="eastAsia" w:ascii="Times New Roman" w:hAnsi="Times New Roman" w:eastAsia="方正仿宋_GBK" w:cs="Times New Roman"/>
          <w:sz w:val="32"/>
          <w:szCs w:val="32"/>
        </w:rPr>
        <w:t>0.8万元</w:t>
      </w:r>
      <w:r>
        <w:rPr>
          <w:rFonts w:ascii="Times New Roman" w:hAnsi="Times New Roman" w:eastAsia="方正仿宋_GBK" w:cs="Times New Roman"/>
          <w:sz w:val="32"/>
          <w:szCs w:val="32"/>
        </w:rPr>
        <w:t>。</w:t>
      </w:r>
    </w:p>
    <w:p>
      <w:pPr>
        <w:autoSpaceDE w:val="0"/>
        <w:autoSpaceDN w:val="0"/>
        <w:adjustRightInd w:val="0"/>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2018年，我办财政拨款“三公”经费预算安排1.02万元，与2017年相比增加1.</w:t>
      </w:r>
      <w:r>
        <w:rPr>
          <w:rFonts w:hint="eastAsia" w:ascii="Times New Roman" w:hAnsi="Times New Roman" w:eastAsia="方正仿宋_GBK" w:cs="Times New Roman"/>
          <w:sz w:val="32"/>
          <w:szCs w:val="32"/>
        </w:rPr>
        <w:t>02</w:t>
      </w:r>
      <w:r>
        <w:rPr>
          <w:rFonts w:ascii="Times New Roman" w:hAnsi="Times New Roman" w:eastAsia="方正仿宋_GBK" w:cs="Times New Roman"/>
          <w:sz w:val="32"/>
          <w:szCs w:val="32"/>
        </w:rPr>
        <w:t>万元，增加的主要原因是：按比例提取。其中因公出国（境）费0.00万元，</w:t>
      </w:r>
      <w:r>
        <w:rPr>
          <w:rFonts w:hint="eastAsia" w:ascii="Times New Roman" w:hAnsi="Times New Roman" w:eastAsia="方正仿宋_GBK" w:cs="Times New Roman"/>
          <w:sz w:val="32"/>
          <w:szCs w:val="32"/>
        </w:rPr>
        <w:t>与2017年</w:t>
      </w:r>
      <w:r>
        <w:rPr>
          <w:rFonts w:hint="eastAsia" w:ascii="Times New Roman" w:hAnsi="Times New Roman" w:eastAsia="方正仿宋_GBK" w:cs="Times New Roman"/>
          <w:sz w:val="32"/>
          <w:szCs w:val="32"/>
          <w:lang w:eastAsia="zh-CN"/>
        </w:rPr>
        <w:t>相比无增减变化</w:t>
      </w:r>
      <w:r>
        <w:rPr>
          <w:rFonts w:ascii="Times New Roman" w:hAnsi="Times New Roman" w:eastAsia="方正仿宋_GBK" w:cs="Times New Roman"/>
          <w:sz w:val="32"/>
          <w:szCs w:val="32"/>
        </w:rPr>
        <w:t>；公务用车购置及运维费0.8万元（其中：公务用车购置费为0.00万元，</w:t>
      </w:r>
      <w:r>
        <w:rPr>
          <w:rFonts w:hint="eastAsia" w:ascii="Times New Roman" w:hAnsi="Times New Roman" w:eastAsia="方正仿宋_GBK" w:cs="Times New Roman"/>
          <w:sz w:val="32"/>
          <w:szCs w:val="32"/>
        </w:rPr>
        <w:t>与2017年</w:t>
      </w:r>
      <w:r>
        <w:rPr>
          <w:rFonts w:hint="eastAsia" w:ascii="Times New Roman" w:hAnsi="Times New Roman" w:eastAsia="方正仿宋_GBK" w:cs="Times New Roman"/>
          <w:sz w:val="32"/>
          <w:szCs w:val="32"/>
          <w:lang w:eastAsia="zh-CN"/>
        </w:rPr>
        <w:t>相比无增减变化；</w:t>
      </w:r>
      <w:r>
        <w:rPr>
          <w:rFonts w:ascii="Times New Roman" w:hAnsi="Times New Roman" w:eastAsia="方正仿宋_GBK" w:cs="Times New Roman"/>
          <w:sz w:val="32"/>
          <w:szCs w:val="32"/>
        </w:rPr>
        <w:t>公务用车运维费0.8万元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比2017年增加0.8万元，增加的主要</w:t>
      </w:r>
      <w:r>
        <w:rPr>
          <w:rFonts w:hint="eastAsia" w:ascii="Times New Roman" w:hAnsi="Times New Roman" w:eastAsia="方正仿宋_GBK" w:cs="Times New Roman"/>
          <w:sz w:val="32"/>
          <w:szCs w:val="32"/>
          <w:lang w:eastAsia="zh-CN"/>
        </w:rPr>
        <w:t>是扶贫下乡任务增加</w:t>
      </w:r>
      <w:r>
        <w:rPr>
          <w:rFonts w:ascii="Times New Roman" w:hAnsi="Times New Roman" w:eastAsia="方正仿宋_GBK" w:cs="Times New Roman"/>
          <w:sz w:val="32"/>
          <w:szCs w:val="32"/>
        </w:rPr>
        <w:t>)；公务接待费0. 22万元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比2017年增加0.22万元，增加的主要原因</w:t>
      </w:r>
      <w:r>
        <w:rPr>
          <w:rFonts w:hint="eastAsia" w:ascii="Times New Roman" w:hAnsi="Times New Roman" w:eastAsia="方正仿宋_GBK" w:cs="Times New Roman"/>
          <w:sz w:val="32"/>
          <w:szCs w:val="32"/>
          <w:lang w:eastAsia="zh-CN"/>
        </w:rPr>
        <w:t>扶贫工作任务加重，公务接待增加</w:t>
      </w:r>
      <w:r>
        <w:rPr>
          <w:rFonts w:ascii="Times New Roman" w:hAnsi="Times New Roman" w:eastAsia="方正仿宋_GBK" w:cs="Times New Roman"/>
          <w:sz w:val="32"/>
          <w:szCs w:val="32"/>
        </w:rPr>
        <w:t>。</w:t>
      </w:r>
    </w:p>
    <w:p>
      <w:pPr>
        <w:ind w:firstLine="64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ind w:firstLine="640" w:firstLineChars="200"/>
        <w:jc w:val="left"/>
        <w:rPr>
          <w:rFonts w:ascii="Times New Roman" w:hAnsi="Times New Roman" w:eastAsia="方正仿宋_GBK" w:cs="Times New Roman"/>
          <w:b/>
          <w:sz w:val="32"/>
          <w:szCs w:val="32"/>
        </w:rPr>
      </w:pPr>
      <w:bookmarkStart w:id="0" w:name="_Toc471398463"/>
      <w:r>
        <w:rPr>
          <w:rFonts w:ascii="Times New Roman" w:hAnsi="Times New Roman" w:eastAsia="方正仿宋_GBK" w:cs="Times New Roman"/>
          <w:b/>
          <w:sz w:val="32"/>
          <w:szCs w:val="32"/>
        </w:rPr>
        <w:t>总体绩效目标：</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全力推进脱贫产业全覆盖工程，成立扶贫产业办公室，完善《丰宁满族自治县脱贫产业支持政策》，突出蔬菜、林果、有机杂粮、肉牛养殖等特色主导产业发展，大力推进光伏产业，加大补助力度，降低补助门槛，延伸联结机制，引导、激励由劳动能力贫困户参与产业经营，充分发挥龙头企业带动作用，实现扶贫产业对各类贫困人口精准覆盖。2018年继续围绕“一园、两片、三带”扶贫产业布局和扶贫主导产业，继续推进时差蔬菜+扶贫、元始杂粮“三零一高”、乐拓羊只入股、光伏+扶贫等产业扶贫模式，探索肉牛养殖扶贫带动、贫困户使用设施、实物入股模式。2018年全县初步谋划扶贫产业项目334个，预计投资28亿元。</w:t>
      </w:r>
    </w:p>
    <w:p>
      <w:pPr>
        <w:ind w:firstLine="640" w:firstLineChars="200"/>
        <w:jc w:val="left"/>
        <w:rPr>
          <w:rFonts w:ascii="Times New Roman" w:hAnsi="Times New Roman" w:eastAsia="仿宋_GB2312" w:cs="Times New Roman"/>
          <w:b/>
          <w:sz w:val="32"/>
          <w:szCs w:val="32"/>
        </w:rPr>
      </w:pPr>
      <w:r>
        <w:rPr>
          <w:rFonts w:ascii="Times New Roman" w:hAnsi="Times New Roman" w:eastAsia="方正仿宋_GBK" w:cs="Times New Roman"/>
          <w:b/>
          <w:sz w:val="32"/>
          <w:szCs w:val="32"/>
        </w:rPr>
        <w:t>职责分类绩效目标：</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一、进一步夯实精准扶贫基础工作</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实施建档立卡动态管理，出台《丰宁满族自治县建档立卡贫困户动态管理实施方案》、《定期入户调查贫困家庭信息制度》、《农户因病、因灾、因学等特事快速上报制度》，按照程序及时纳入贫困人口，退出脱贫人口。</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规范扶贫档案管理。2018年进一步加强扶贫档案的规范化管理，严格按照上级下发的扶贫档案管理要求和目录进行整理，打造出档案管理精品村，通过统一目录、模块管理、现场观摩等形式使全县扶贫档案管理工作进一步规范化、科学化。</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规范管理五证一册。由驻村工作组牵头，乡镇包村干部指导、村干部配合，严格《扶贫手册》等相关证册的填写，真实记录家庭收入及各项扶贫政策落实情况。</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二、加大深度贫困村建设力度</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实施深度贫困村基础设施和公共服务设施提升工程，深入谋划各类项目，分阶段实施，到2020年，27个深度贫困村全部达到省级美丽乡村标准。在“双基”建设的同时，注重深度贫困村产业建设，每个深度贫困村除光伏外，至少有一个带动较强的产业，促进贫困人口增收。</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三、不断深化贫困户帮扶工作全覆盖</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2018年继续深化领导干部包保贫困户制度，各级领导干部要带头深入基层，深入贫困户家中走访慰问，帮助贫困户发展产业、填写档案、解决问题、梳理情绪。实行公职人员对全县贫困户的全覆盖帮扶，全面形成全县党员干部联系贫困群众的良好机制。县级驻村工作队要扎实做好基础工作，提升群众满意度。驻村帮扶工作中要注意激发群众内生动力，坚持扶贫与扶智、扶志相结合，改进和增强对贫困群众培训工作，不断提升贫困群众就业能力，充分发挥贫困群众的主观能动性，进而增强贫困群众脱贫致富的信心和决心。牢固树立脱贫攻坚“一盘棋”思想，把非贫困村贫困人口脱贫纳入全局考虑，同步部署，一体推进。总结推广一批优秀帮扶模式，扩大帮扶成果。</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四、加大涉农资金整合力度和管理</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成立涉农资金整合办公室，制订《丰宁满族自治县统筹整合使用财政涉农资金管理办法》，完善相关项目和资金管理制度，建立涉农资金项目库，从项目库中优选项目，整合涉农资金予以实施，加强对涉农资金使用的监管，确保涉农资金使用安全，扶贫效果明显。</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五、持之以恒抓好扶贫作风建设</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我县将2018年作为脱贫攻坚作风建设年，集中力量解决突出作风问题，继续深入开展脱贫攻坚和扶贫领域腐败和作风问题专项整治工作。</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成立脱贫攻坚推进办，依据任务清单、责任清单、目标清单，严格督导考核，倒逼责任、政策、工作落实；不断完善扶贫督查巡查、考核评估办法，严格控制增加一线扶贫干部负担的各类检查考评。全县各部门要切实加强扶贫资金源头管理、过程管控，对挪用和贪污扶贫资金的行为严惩不贷；要进一步组织好全县扶贫领域腐败和作风问题自查自纠工作，确保各项整改工作落实到位。对于整改、落实不力的单位部门将严肃问责，存在违纪线索的要及时转交县纪委。</w:t>
      </w:r>
    </w:p>
    <w:p>
      <w:pPr>
        <w:ind w:firstLine="640" w:firstLineChars="200"/>
        <w:jc w:val="left"/>
        <w:rPr>
          <w:rFonts w:ascii="Times New Roman" w:hAnsi="Times New Roman" w:eastAsia="方正仿宋_GBK" w:cs="Times New Roman"/>
          <w:b/>
          <w:sz w:val="32"/>
          <w:szCs w:val="24"/>
        </w:rPr>
      </w:pPr>
      <w:r>
        <w:rPr>
          <w:rFonts w:ascii="Times New Roman" w:hAnsi="Times New Roman" w:eastAsia="方正仿宋_GBK" w:cs="Times New Roman"/>
          <w:b/>
          <w:sz w:val="32"/>
          <w:szCs w:val="32"/>
        </w:rPr>
        <w:t>部门职责及工作活动绩效目标指标：</w:t>
      </w:r>
    </w:p>
    <w:bookmarkEnd w:id="0"/>
    <w:p>
      <w:pPr>
        <w:jc w:val="center"/>
        <w:outlineLvl w:val="0"/>
        <w:rPr>
          <w:rFonts w:ascii="Times New Roman" w:hAnsi="Times New Roman" w:eastAsia="方正小标宋_GBK" w:cs="Times New Roman"/>
          <w:sz w:val="32"/>
        </w:rPr>
      </w:pPr>
      <w:bookmarkStart w:id="1" w:name="_Toc507515170"/>
      <w:r>
        <w:rPr>
          <w:rFonts w:ascii="Times New Roman" w:hAnsi="Times New Roman" w:eastAsia="方正小标宋_GBK" w:cs="Times New Roman"/>
          <w:sz w:val="32"/>
        </w:rPr>
        <w:t>部门职责-工作活动绩效目标</w:t>
      </w:r>
      <w:bookmarkEnd w:id="1"/>
    </w:p>
    <w:tbl>
      <w:tblPr>
        <w:tblStyle w:val="9"/>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Times New Roman" w:hAnsi="Times New Roman" w:eastAsia="方正仿宋_GBK" w:cs="Times New Roman"/>
                <w:sz w:val="24"/>
              </w:rPr>
            </w:pPr>
            <w:r>
              <w:rPr>
                <w:rFonts w:ascii="Times New Roman" w:hAnsi="Times New Roman" w:eastAsia="方正仿宋_GBK" w:cs="Times New Roman"/>
                <w:sz w:val="24"/>
              </w:rPr>
              <w:t>475</w:t>
            </w:r>
            <w:r>
              <w:rPr>
                <w:rFonts w:hint="eastAsia" w:ascii="Times New Roman" w:hAnsi="Times New Roman" w:eastAsia="方正仿宋_GBK" w:cs="Times New Roman"/>
                <w:sz w:val="24"/>
              </w:rPr>
              <w:t>丰宁满族自治县扶贫和农业开发办公室</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Times New Roman" w:hAnsi="Times New Roman" w:eastAsia="方正仿宋_GBK" w:cs="Times New Roman"/>
                <w:sz w:val="24"/>
              </w:rPr>
            </w:pPr>
            <w:r>
              <w:rPr>
                <w:rFonts w:ascii="Times New Roman" w:hAnsi="Times New Roman" w:eastAsia="方正仿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Times New Roman" w:hAnsi="Times New Roman" w:eastAsia="方正仿宋_GBK" w:cs="Times New Roman"/>
                <w:b/>
              </w:rPr>
            </w:pPr>
            <w:r>
              <w:rPr>
                <w:rFonts w:ascii="Times New Roman" w:hAnsi="Times New Roman" w:eastAsia="方正仿宋_GBK" w:cs="Times New Roman"/>
                <w:b/>
              </w:rPr>
              <w:t>职责活动</w:t>
            </w:r>
          </w:p>
        </w:tc>
        <w:tc>
          <w:tcPr>
            <w:tcW w:w="1276" w:type="dxa"/>
            <w:vMerge w:val="restart"/>
            <w:shd w:val="clear" w:color="auto" w:fill="auto"/>
            <w:vAlign w:val="center"/>
          </w:tcPr>
          <w:p>
            <w:pPr>
              <w:spacing w:line="300" w:lineRule="exact"/>
              <w:jc w:val="center"/>
              <w:rPr>
                <w:rFonts w:ascii="Times New Roman" w:hAnsi="Times New Roman" w:eastAsia="方正仿宋_GBK" w:cs="Times New Roman"/>
                <w:b/>
              </w:rPr>
            </w:pPr>
            <w:r>
              <w:rPr>
                <w:rFonts w:ascii="Times New Roman" w:hAnsi="Times New Roman" w:eastAsia="方正仿宋_GBK" w:cs="Times New Roman"/>
                <w:b/>
              </w:rPr>
              <w:t>年度预算数</w:t>
            </w:r>
          </w:p>
        </w:tc>
        <w:tc>
          <w:tcPr>
            <w:tcW w:w="2976" w:type="dxa"/>
            <w:vMerge w:val="restart"/>
            <w:shd w:val="clear" w:color="auto" w:fill="auto"/>
            <w:vAlign w:val="center"/>
          </w:tcPr>
          <w:p>
            <w:pPr>
              <w:spacing w:line="300" w:lineRule="exact"/>
              <w:jc w:val="center"/>
              <w:rPr>
                <w:rFonts w:ascii="Times New Roman" w:hAnsi="Times New Roman" w:eastAsia="方正仿宋_GBK" w:cs="Times New Roman"/>
                <w:b/>
              </w:rPr>
            </w:pPr>
            <w:r>
              <w:rPr>
                <w:rFonts w:ascii="Times New Roman" w:hAnsi="Times New Roman" w:eastAsia="方正仿宋_GBK" w:cs="Times New Roman"/>
                <w:b/>
              </w:rPr>
              <w:t>内容描述</w:t>
            </w:r>
          </w:p>
        </w:tc>
        <w:tc>
          <w:tcPr>
            <w:tcW w:w="2976" w:type="dxa"/>
            <w:vMerge w:val="restart"/>
            <w:shd w:val="clear" w:color="auto" w:fill="auto"/>
            <w:vAlign w:val="center"/>
          </w:tcPr>
          <w:p>
            <w:pPr>
              <w:spacing w:line="300" w:lineRule="exact"/>
              <w:jc w:val="center"/>
              <w:rPr>
                <w:rFonts w:ascii="Times New Roman" w:hAnsi="Times New Roman" w:eastAsia="方正仿宋_GBK" w:cs="Times New Roman"/>
                <w:b/>
              </w:rPr>
            </w:pPr>
            <w:r>
              <w:rPr>
                <w:rFonts w:ascii="Times New Roman" w:hAnsi="Times New Roman" w:eastAsia="方正仿宋_GBK" w:cs="Times New Roman"/>
                <w:b/>
              </w:rPr>
              <w:t>绩效目标</w:t>
            </w:r>
          </w:p>
        </w:tc>
        <w:tc>
          <w:tcPr>
            <w:tcW w:w="1417" w:type="dxa"/>
            <w:vMerge w:val="restart"/>
            <w:shd w:val="clear" w:color="auto" w:fill="auto"/>
            <w:vAlign w:val="center"/>
          </w:tcPr>
          <w:p>
            <w:pPr>
              <w:spacing w:line="300" w:lineRule="exact"/>
              <w:jc w:val="center"/>
              <w:rPr>
                <w:rFonts w:ascii="Times New Roman" w:hAnsi="Times New Roman" w:eastAsia="方正仿宋_GBK" w:cs="Times New Roman"/>
                <w:b/>
              </w:rPr>
            </w:pPr>
            <w:r>
              <w:rPr>
                <w:rFonts w:ascii="Times New Roman" w:hAnsi="Times New Roman" w:eastAsia="方正仿宋_GBK" w:cs="Times New Roman"/>
                <w:b/>
              </w:rPr>
              <w:t>绩效指标</w:t>
            </w:r>
          </w:p>
        </w:tc>
        <w:tc>
          <w:tcPr>
            <w:tcW w:w="2948" w:type="dxa"/>
            <w:gridSpan w:val="4"/>
            <w:shd w:val="clear" w:color="auto" w:fill="auto"/>
            <w:vAlign w:val="center"/>
          </w:tcPr>
          <w:p>
            <w:pPr>
              <w:spacing w:line="300" w:lineRule="exact"/>
              <w:jc w:val="center"/>
              <w:rPr>
                <w:rFonts w:ascii="Times New Roman" w:hAnsi="Times New Roman" w:eastAsia="方正仿宋_GBK" w:cs="Times New Roman"/>
                <w:b/>
              </w:rPr>
            </w:pPr>
            <w:r>
              <w:rPr>
                <w:rFonts w:ascii="Times New Roman" w:hAnsi="Times New Roman" w:eastAsia="方正仿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Times New Roman" w:hAnsi="Times New Roman" w:eastAsia="方正仿宋_GBK" w:cs="Times New Roman"/>
              </w:rPr>
            </w:pPr>
          </w:p>
        </w:tc>
        <w:tc>
          <w:tcPr>
            <w:tcW w:w="1276" w:type="dxa"/>
            <w:vMerge w:val="continue"/>
            <w:shd w:val="clear" w:color="auto" w:fill="auto"/>
            <w:vAlign w:val="center"/>
          </w:tcPr>
          <w:p>
            <w:pPr>
              <w:spacing w:line="300" w:lineRule="exact"/>
              <w:jc w:val="left"/>
              <w:outlineLvl w:val="0"/>
              <w:rPr>
                <w:rFonts w:ascii="Times New Roman" w:hAnsi="Times New Roman" w:eastAsia="方正仿宋_GBK" w:cs="Times New Roman"/>
              </w:rPr>
            </w:pPr>
          </w:p>
        </w:tc>
        <w:tc>
          <w:tcPr>
            <w:tcW w:w="2976" w:type="dxa"/>
            <w:vMerge w:val="continue"/>
            <w:shd w:val="clear" w:color="auto" w:fill="auto"/>
            <w:vAlign w:val="center"/>
          </w:tcPr>
          <w:p>
            <w:pPr>
              <w:spacing w:line="300" w:lineRule="exact"/>
              <w:jc w:val="left"/>
              <w:outlineLvl w:val="0"/>
              <w:rPr>
                <w:rFonts w:ascii="Times New Roman" w:hAnsi="Times New Roman" w:eastAsia="方正仿宋_GBK" w:cs="Times New Roman"/>
              </w:rPr>
            </w:pPr>
          </w:p>
        </w:tc>
        <w:tc>
          <w:tcPr>
            <w:tcW w:w="2976" w:type="dxa"/>
            <w:vMerge w:val="continue"/>
            <w:shd w:val="clear" w:color="auto" w:fill="auto"/>
            <w:vAlign w:val="center"/>
          </w:tcPr>
          <w:p>
            <w:pPr>
              <w:spacing w:line="300" w:lineRule="exact"/>
              <w:jc w:val="left"/>
              <w:outlineLvl w:val="0"/>
              <w:rPr>
                <w:rFonts w:ascii="Times New Roman" w:hAnsi="Times New Roman" w:eastAsia="方正仿宋_GBK" w:cs="Times New Roman"/>
              </w:rPr>
            </w:pPr>
          </w:p>
        </w:tc>
        <w:tc>
          <w:tcPr>
            <w:tcW w:w="1417" w:type="dxa"/>
            <w:vMerge w:val="continue"/>
            <w:shd w:val="clear" w:color="auto" w:fill="auto"/>
            <w:vAlign w:val="center"/>
          </w:tcPr>
          <w:p>
            <w:pPr>
              <w:spacing w:line="300" w:lineRule="exact"/>
              <w:jc w:val="left"/>
              <w:outlineLvl w:val="0"/>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b/>
              </w:rPr>
            </w:pPr>
            <w:r>
              <w:rPr>
                <w:rFonts w:ascii="Times New Roman" w:hAnsi="Times New Roman" w:eastAsia="方正仿宋_GBK" w:cs="Times New Roman"/>
                <w:b/>
              </w:rPr>
              <w:t>优</w:t>
            </w:r>
          </w:p>
        </w:tc>
        <w:tc>
          <w:tcPr>
            <w:tcW w:w="737" w:type="dxa"/>
            <w:shd w:val="clear" w:color="auto" w:fill="auto"/>
            <w:vAlign w:val="center"/>
          </w:tcPr>
          <w:p>
            <w:pPr>
              <w:spacing w:line="300" w:lineRule="exact"/>
              <w:jc w:val="center"/>
              <w:rPr>
                <w:rFonts w:ascii="Times New Roman" w:hAnsi="Times New Roman" w:eastAsia="方正仿宋_GBK" w:cs="Times New Roman"/>
                <w:b/>
              </w:rPr>
            </w:pPr>
            <w:r>
              <w:rPr>
                <w:rFonts w:ascii="Times New Roman" w:hAnsi="Times New Roman" w:eastAsia="方正仿宋_GBK" w:cs="Times New Roman"/>
                <w:b/>
              </w:rPr>
              <w:t>良</w:t>
            </w:r>
          </w:p>
        </w:tc>
        <w:tc>
          <w:tcPr>
            <w:tcW w:w="737" w:type="dxa"/>
            <w:shd w:val="clear" w:color="auto" w:fill="auto"/>
            <w:vAlign w:val="center"/>
          </w:tcPr>
          <w:p>
            <w:pPr>
              <w:spacing w:line="300" w:lineRule="exact"/>
              <w:jc w:val="center"/>
              <w:rPr>
                <w:rFonts w:ascii="Times New Roman" w:hAnsi="Times New Roman" w:eastAsia="方正仿宋_GBK" w:cs="Times New Roman"/>
                <w:b/>
              </w:rPr>
            </w:pPr>
            <w:r>
              <w:rPr>
                <w:rFonts w:ascii="Times New Roman" w:hAnsi="Times New Roman" w:eastAsia="方正仿宋_GBK" w:cs="Times New Roman"/>
                <w:b/>
              </w:rPr>
              <w:t>中</w:t>
            </w:r>
          </w:p>
        </w:tc>
        <w:tc>
          <w:tcPr>
            <w:tcW w:w="737" w:type="dxa"/>
            <w:shd w:val="clear" w:color="auto" w:fill="auto"/>
            <w:vAlign w:val="center"/>
          </w:tcPr>
          <w:p>
            <w:pPr>
              <w:spacing w:line="300" w:lineRule="exact"/>
              <w:jc w:val="center"/>
              <w:rPr>
                <w:rFonts w:ascii="Times New Roman" w:hAnsi="Times New Roman" w:eastAsia="方正仿宋_GBK" w:cs="Times New Roman"/>
                <w:b/>
              </w:rPr>
            </w:pPr>
            <w:r>
              <w:rPr>
                <w:rFonts w:ascii="Times New Roman" w:hAnsi="Times New Roman" w:eastAsia="方正仿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仿宋_GBK" w:cs="Times New Roman"/>
                <w:b/>
              </w:rPr>
            </w:pPr>
            <w:r>
              <w:rPr>
                <w:rFonts w:ascii="Times New Roman" w:hAnsi="Times New Roman" w:eastAsia="方正仿宋_GBK" w:cs="Times New Roman"/>
                <w:b/>
              </w:rPr>
              <w:t>一、精准脱贫</w:t>
            </w:r>
          </w:p>
        </w:tc>
        <w:tc>
          <w:tcPr>
            <w:tcW w:w="12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136.00</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构建大扶贫格局，建档立卡贫困人口精准脱贫</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完成2.67万贫困人口脱贫任务</w:t>
            </w:r>
          </w:p>
        </w:tc>
        <w:tc>
          <w:tcPr>
            <w:tcW w:w="1417" w:type="dxa"/>
            <w:shd w:val="clear" w:color="auto" w:fill="auto"/>
            <w:vAlign w:val="center"/>
          </w:tcPr>
          <w:p>
            <w:pPr>
              <w:spacing w:line="300" w:lineRule="exact"/>
              <w:jc w:val="left"/>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仿宋_GBK" w:cs="Times New Roman"/>
                <w:b/>
              </w:rPr>
            </w:pPr>
            <w:r>
              <w:rPr>
                <w:rFonts w:ascii="Times New Roman" w:hAnsi="Times New Roman" w:eastAsia="方正仿宋_GBK" w:cs="Times New Roman"/>
                <w:b/>
              </w:rPr>
              <w:t>　　1、精准脱贫</w:t>
            </w:r>
          </w:p>
        </w:tc>
        <w:tc>
          <w:tcPr>
            <w:tcW w:w="12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136.00</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实施产业扶贫、社会扶贫、金融扶贫等</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完成年度脱贫任务</w:t>
            </w:r>
          </w:p>
        </w:tc>
        <w:tc>
          <w:tcPr>
            <w:tcW w:w="1417"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贫困人口完成2.67万人</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90-95%</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85—90%</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80—85%</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仿宋_GBK" w:cs="Times New Roman"/>
                <w:b/>
              </w:rPr>
            </w:pPr>
            <w:r>
              <w:rPr>
                <w:rFonts w:ascii="Times New Roman" w:hAnsi="Times New Roman" w:eastAsia="方正仿宋_GBK" w:cs="Times New Roman"/>
                <w:b/>
              </w:rPr>
              <w:t>二、产业扶贫</w:t>
            </w:r>
          </w:p>
        </w:tc>
        <w:tc>
          <w:tcPr>
            <w:tcW w:w="12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23164.00</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围绕县域主导产业，大力发展富民产业</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加大投入财政扶贫资金，大力发展奶业、蔬菜、食用菌等主导产业</w:t>
            </w:r>
          </w:p>
        </w:tc>
        <w:tc>
          <w:tcPr>
            <w:tcW w:w="1417" w:type="dxa"/>
            <w:shd w:val="clear" w:color="auto" w:fill="auto"/>
            <w:vAlign w:val="center"/>
          </w:tcPr>
          <w:p>
            <w:pPr>
              <w:spacing w:line="300" w:lineRule="exact"/>
              <w:jc w:val="left"/>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仿宋_GBK" w:cs="Times New Roman"/>
                <w:b/>
              </w:rPr>
            </w:pPr>
            <w:r>
              <w:rPr>
                <w:rFonts w:ascii="Times New Roman" w:hAnsi="Times New Roman" w:eastAsia="方正仿宋_GBK" w:cs="Times New Roman"/>
                <w:b/>
              </w:rPr>
              <w:t>　　1、产业扶贫</w:t>
            </w:r>
          </w:p>
        </w:tc>
        <w:tc>
          <w:tcPr>
            <w:tcW w:w="12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23164.00</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以建设有机农业园区为突破口，因地制宜发展蔬菜、食用菌、中草药和林果等种植业，奶牛、肉羊、肉牛、肉鸡、生猪等养殖业</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投入财政扶贫资金2500万元以上，产业规模逐步增大，带动贫困户增收能力增强</w:t>
            </w:r>
          </w:p>
        </w:tc>
        <w:tc>
          <w:tcPr>
            <w:tcW w:w="1417"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通过统计、调查等计算出产业扶贫在贫困户脱贫中的作用</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90-95%</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85—90%</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80—85%</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仿宋_GBK" w:cs="Times New Roman"/>
                <w:b/>
              </w:rPr>
            </w:pPr>
            <w:r>
              <w:rPr>
                <w:rFonts w:ascii="Times New Roman" w:hAnsi="Times New Roman" w:eastAsia="方正仿宋_GBK" w:cs="Times New Roman"/>
                <w:b/>
              </w:rPr>
              <w:t>三、社会扶贫</w:t>
            </w:r>
          </w:p>
        </w:tc>
        <w:tc>
          <w:tcPr>
            <w:tcW w:w="1276" w:type="dxa"/>
            <w:shd w:val="clear" w:color="auto" w:fill="auto"/>
            <w:vAlign w:val="center"/>
          </w:tcPr>
          <w:p>
            <w:pPr>
              <w:spacing w:line="300" w:lineRule="exact"/>
              <w:jc w:val="left"/>
              <w:rPr>
                <w:rFonts w:ascii="Times New Roman" w:hAnsi="Times New Roman" w:eastAsia="方正仿宋_GBK" w:cs="Times New Roman"/>
              </w:rPr>
            </w:pP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协调国家、省、市各级帮扶部门帮扶贫困村</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依托部门优势，引资金上项目，跑市场，抓信息，</w:t>
            </w:r>
          </w:p>
        </w:tc>
        <w:tc>
          <w:tcPr>
            <w:tcW w:w="1417" w:type="dxa"/>
            <w:shd w:val="clear" w:color="auto" w:fill="auto"/>
            <w:vAlign w:val="center"/>
          </w:tcPr>
          <w:p>
            <w:pPr>
              <w:spacing w:line="300" w:lineRule="exact"/>
              <w:jc w:val="left"/>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仿宋_GBK" w:cs="Times New Roman"/>
                <w:b/>
              </w:rPr>
            </w:pPr>
            <w:r>
              <w:rPr>
                <w:rFonts w:ascii="Times New Roman" w:hAnsi="Times New Roman" w:eastAsia="方正仿宋_GBK" w:cs="Times New Roman"/>
                <w:b/>
              </w:rPr>
              <w:t>　　1、社会扶贫</w:t>
            </w:r>
          </w:p>
        </w:tc>
        <w:tc>
          <w:tcPr>
            <w:tcW w:w="1276" w:type="dxa"/>
            <w:shd w:val="clear" w:color="auto" w:fill="auto"/>
            <w:vAlign w:val="center"/>
          </w:tcPr>
          <w:p>
            <w:pPr>
              <w:spacing w:line="300" w:lineRule="exact"/>
              <w:jc w:val="left"/>
              <w:rPr>
                <w:rFonts w:ascii="Times New Roman" w:hAnsi="Times New Roman" w:eastAsia="方正仿宋_GBK" w:cs="Times New Roman"/>
              </w:rPr>
            </w:pP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充分发挥民建中央，国家发改委，工信部，商务部，国开行以及9个省直、29个市直对口帮扶部门作用，为扶贫开发注入强大动力</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贫困村每村都有帮扶工作队，每个贫困户都有帮扶责任人，投入帮扶资金500万元以上</w:t>
            </w:r>
          </w:p>
        </w:tc>
        <w:tc>
          <w:tcPr>
            <w:tcW w:w="1417"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实现帮扶工作全覆盖，投入帮扶资金500万元以上</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90-95%</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85—90%</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80—85%</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仿宋_GBK" w:cs="Times New Roman"/>
                <w:b/>
              </w:rPr>
            </w:pPr>
            <w:r>
              <w:rPr>
                <w:rFonts w:ascii="Times New Roman" w:hAnsi="Times New Roman" w:eastAsia="方正仿宋_GBK" w:cs="Times New Roman"/>
                <w:b/>
              </w:rPr>
              <w:t>四、扶贫培训</w:t>
            </w:r>
          </w:p>
        </w:tc>
        <w:tc>
          <w:tcPr>
            <w:tcW w:w="1276" w:type="dxa"/>
            <w:shd w:val="clear" w:color="auto" w:fill="auto"/>
            <w:vAlign w:val="center"/>
          </w:tcPr>
          <w:p>
            <w:pPr>
              <w:spacing w:line="300" w:lineRule="exact"/>
              <w:jc w:val="left"/>
              <w:rPr>
                <w:rFonts w:ascii="Times New Roman" w:hAnsi="Times New Roman" w:eastAsia="方正仿宋_GBK" w:cs="Times New Roman"/>
              </w:rPr>
            </w:pP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落实建档立卡贫困家庭职业教育补贴，对建档立卡贫困户给予科技培训</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对建档立卡贫困家庭职业教育子女给予每人每年3000元补贴；建档立卡贫困户每户接受一次科技培训</w:t>
            </w:r>
          </w:p>
        </w:tc>
        <w:tc>
          <w:tcPr>
            <w:tcW w:w="1417" w:type="dxa"/>
            <w:shd w:val="clear" w:color="auto" w:fill="auto"/>
            <w:vAlign w:val="center"/>
          </w:tcPr>
          <w:p>
            <w:pPr>
              <w:spacing w:line="300" w:lineRule="exact"/>
              <w:jc w:val="left"/>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仿宋_GBK" w:cs="Times New Roman"/>
                <w:b/>
              </w:rPr>
            </w:pPr>
            <w:r>
              <w:rPr>
                <w:rFonts w:ascii="Times New Roman" w:hAnsi="Times New Roman" w:eastAsia="方正仿宋_GBK" w:cs="Times New Roman"/>
                <w:b/>
              </w:rPr>
              <w:t>　　1、扶贫培训</w:t>
            </w:r>
          </w:p>
        </w:tc>
        <w:tc>
          <w:tcPr>
            <w:tcW w:w="1276" w:type="dxa"/>
            <w:shd w:val="clear" w:color="auto" w:fill="auto"/>
            <w:vAlign w:val="center"/>
          </w:tcPr>
          <w:p>
            <w:pPr>
              <w:spacing w:line="300" w:lineRule="exact"/>
              <w:jc w:val="left"/>
              <w:rPr>
                <w:rFonts w:ascii="Times New Roman" w:hAnsi="Times New Roman" w:eastAsia="方正仿宋_GBK" w:cs="Times New Roman"/>
              </w:rPr>
            </w:pP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实施雨露计划，落实职业教育补贴和致富带头人培训</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完成年度补贴任务，做到应补尽补；科技培训达到全覆盖。</w:t>
            </w:r>
          </w:p>
        </w:tc>
        <w:tc>
          <w:tcPr>
            <w:tcW w:w="1417"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雨露计划全面实施，加大致富带头人及科技培训</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90-95%</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85—90%</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80—85%</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仿宋_GBK" w:cs="Times New Roman"/>
                <w:b/>
              </w:rPr>
            </w:pPr>
            <w:r>
              <w:rPr>
                <w:rFonts w:ascii="Times New Roman" w:hAnsi="Times New Roman" w:eastAsia="方正仿宋_GBK" w:cs="Times New Roman"/>
                <w:b/>
              </w:rPr>
              <w:t>五、建档立卡</w:t>
            </w:r>
          </w:p>
        </w:tc>
        <w:tc>
          <w:tcPr>
            <w:tcW w:w="1276" w:type="dxa"/>
            <w:shd w:val="clear" w:color="auto" w:fill="auto"/>
            <w:vAlign w:val="center"/>
          </w:tcPr>
          <w:p>
            <w:pPr>
              <w:spacing w:line="300" w:lineRule="exact"/>
              <w:jc w:val="left"/>
              <w:rPr>
                <w:rFonts w:ascii="Times New Roman" w:hAnsi="Times New Roman" w:eastAsia="方正仿宋_GBK" w:cs="Times New Roman"/>
              </w:rPr>
            </w:pP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通过建档立卡为精准扶贫和精准脱贫奠定基础</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对3.61万户，8.22万贫困人口纳入系统，实施网络管理</w:t>
            </w:r>
          </w:p>
        </w:tc>
        <w:tc>
          <w:tcPr>
            <w:tcW w:w="1417" w:type="dxa"/>
            <w:shd w:val="clear" w:color="auto" w:fill="auto"/>
            <w:vAlign w:val="center"/>
          </w:tcPr>
          <w:p>
            <w:pPr>
              <w:spacing w:line="300" w:lineRule="exact"/>
              <w:jc w:val="left"/>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仿宋_GBK" w:cs="Times New Roman"/>
                <w:b/>
              </w:rPr>
            </w:pPr>
            <w:r>
              <w:rPr>
                <w:rFonts w:ascii="Times New Roman" w:hAnsi="Times New Roman" w:eastAsia="方正仿宋_GBK" w:cs="Times New Roman"/>
                <w:b/>
              </w:rPr>
              <w:t>　　1、建档立卡</w:t>
            </w:r>
          </w:p>
        </w:tc>
        <w:tc>
          <w:tcPr>
            <w:tcW w:w="1276" w:type="dxa"/>
            <w:shd w:val="clear" w:color="auto" w:fill="auto"/>
            <w:vAlign w:val="center"/>
          </w:tcPr>
          <w:p>
            <w:pPr>
              <w:spacing w:line="300" w:lineRule="exact"/>
              <w:jc w:val="left"/>
              <w:rPr>
                <w:rFonts w:ascii="Times New Roman" w:hAnsi="Times New Roman" w:eastAsia="方正仿宋_GBK" w:cs="Times New Roman"/>
              </w:rPr>
            </w:pP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对纳入系统内建档立卡贫困人口实施动态管理，记录脱贫路径</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按上级要求，精确管理建档立卡贫困人口</w:t>
            </w:r>
          </w:p>
        </w:tc>
        <w:tc>
          <w:tcPr>
            <w:tcW w:w="1417"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建档立卡贫困人口一人不落、一字不差</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90-95%</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85—90%</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80—85%</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仿宋_GBK" w:cs="Times New Roman"/>
                <w:b/>
              </w:rPr>
            </w:pPr>
            <w:r>
              <w:rPr>
                <w:rFonts w:ascii="Times New Roman" w:hAnsi="Times New Roman" w:eastAsia="方正仿宋_GBK" w:cs="Times New Roman"/>
                <w:b/>
              </w:rPr>
              <w:t>六、金融扶贫、互联网扶贫等</w:t>
            </w:r>
          </w:p>
        </w:tc>
        <w:tc>
          <w:tcPr>
            <w:tcW w:w="1276" w:type="dxa"/>
            <w:shd w:val="clear" w:color="auto" w:fill="auto"/>
            <w:vAlign w:val="center"/>
          </w:tcPr>
          <w:p>
            <w:pPr>
              <w:spacing w:line="300" w:lineRule="exact"/>
              <w:jc w:val="left"/>
              <w:rPr>
                <w:rFonts w:ascii="Times New Roman" w:hAnsi="Times New Roman" w:eastAsia="方正仿宋_GBK" w:cs="Times New Roman"/>
              </w:rPr>
            </w:pP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做好担保中心和投融资平台建设、农户自立服务社的运行，启动互联网扶贫</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强化对扶贫龙头企业、专业合作社、种养大户等带动能力强的市场主体的金融担保服务；为贫困户提供小额产业发展资金支撑</w:t>
            </w:r>
          </w:p>
        </w:tc>
        <w:tc>
          <w:tcPr>
            <w:tcW w:w="1417" w:type="dxa"/>
            <w:shd w:val="clear" w:color="auto" w:fill="auto"/>
            <w:vAlign w:val="center"/>
          </w:tcPr>
          <w:p>
            <w:pPr>
              <w:spacing w:line="300" w:lineRule="exact"/>
              <w:jc w:val="left"/>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c>
          <w:tcPr>
            <w:tcW w:w="737" w:type="dxa"/>
            <w:shd w:val="clear" w:color="auto" w:fill="auto"/>
            <w:vAlign w:val="center"/>
          </w:tcPr>
          <w:p>
            <w:pPr>
              <w:spacing w:line="300" w:lineRule="exact"/>
              <w:jc w:val="center"/>
              <w:rPr>
                <w:rFonts w:ascii="Times New Roman" w:hAnsi="Times New Roman" w:eastAsia="方正仿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仿宋_GBK" w:cs="Times New Roman"/>
                <w:b/>
              </w:rPr>
            </w:pPr>
            <w:r>
              <w:rPr>
                <w:rFonts w:ascii="Times New Roman" w:hAnsi="Times New Roman" w:eastAsia="方正仿宋_GBK" w:cs="Times New Roman"/>
                <w:b/>
              </w:rPr>
              <w:t>　　1、金融扶贫、互联网扶贫等</w:t>
            </w:r>
          </w:p>
        </w:tc>
        <w:tc>
          <w:tcPr>
            <w:tcW w:w="1276" w:type="dxa"/>
            <w:shd w:val="clear" w:color="auto" w:fill="auto"/>
            <w:vAlign w:val="center"/>
          </w:tcPr>
          <w:p>
            <w:pPr>
              <w:spacing w:line="300" w:lineRule="exact"/>
              <w:jc w:val="left"/>
              <w:rPr>
                <w:rFonts w:ascii="Times New Roman" w:hAnsi="Times New Roman" w:eastAsia="方正仿宋_GBK" w:cs="Times New Roman"/>
              </w:rPr>
            </w:pP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提升金融支撑，做好担保中心和投融资平台建设、农户自立服务社的运行，启动互联网扶贫</w:t>
            </w:r>
          </w:p>
        </w:tc>
        <w:tc>
          <w:tcPr>
            <w:tcW w:w="2976"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为贫困户提供0.3亿元以上贷款，探索从以担保基金和县财政专项扶贫资金列支小额信贷扶贫风险金补偿金</w:t>
            </w:r>
          </w:p>
        </w:tc>
        <w:tc>
          <w:tcPr>
            <w:tcW w:w="1417" w:type="dxa"/>
            <w:shd w:val="clear" w:color="auto" w:fill="auto"/>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通过政银担保形式，撬动金融资本投向扶贫产业，启动互联网扶贫工程</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90-95%</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85—90%</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80—85%</w:t>
            </w:r>
          </w:p>
        </w:tc>
        <w:tc>
          <w:tcPr>
            <w:tcW w:w="737" w:type="dxa"/>
            <w:shd w:val="clear" w:color="auto" w:fill="auto"/>
            <w:vAlign w:val="center"/>
          </w:tcPr>
          <w:p>
            <w:pPr>
              <w:spacing w:line="300" w:lineRule="exact"/>
              <w:jc w:val="center"/>
              <w:rPr>
                <w:rFonts w:ascii="Times New Roman" w:hAnsi="Times New Roman" w:eastAsia="方正仿宋_GBK" w:cs="Times New Roman"/>
              </w:rPr>
            </w:pPr>
            <w:r>
              <w:rPr>
                <w:rFonts w:ascii="Times New Roman" w:hAnsi="Times New Roman" w:eastAsia="方正仿宋_GBK" w:cs="Times New Roman"/>
              </w:rPr>
              <w:t>80%以下</w:t>
            </w:r>
          </w:p>
        </w:tc>
      </w:tr>
    </w:tbl>
    <w:p>
      <w:pPr>
        <w:autoSpaceDE w:val="0"/>
        <w:autoSpaceDN w:val="0"/>
        <w:adjustRightInd w:val="0"/>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autoSpaceDE w:val="0"/>
        <w:autoSpaceDN w:val="0"/>
        <w:adjustRightInd w:val="0"/>
        <w:ind w:firstLine="640" w:firstLineChars="200"/>
        <w:jc w:val="left"/>
        <w:rPr>
          <w:rFonts w:ascii="Times New Roman" w:hAnsi="Times New Roman" w:eastAsia="方正仿宋_GBK" w:cs="Times New Roman"/>
          <w:sz w:val="32"/>
          <w:szCs w:val="24"/>
        </w:rPr>
      </w:pPr>
      <w:bookmarkStart w:id="2" w:name="_Toc471398468"/>
      <w:r>
        <w:rPr>
          <w:rFonts w:ascii="Times New Roman" w:hAnsi="Times New Roman" w:eastAsia="方正仿宋_GBK" w:cs="Times New Roman"/>
          <w:sz w:val="32"/>
          <w:szCs w:val="24"/>
        </w:rPr>
        <w:t>2018年，我单位安排政府采购预算0万元。</w:t>
      </w:r>
      <w:bookmarkEnd w:id="2"/>
    </w:p>
    <w:p>
      <w:pPr>
        <w:autoSpaceDE w:val="0"/>
        <w:autoSpaceDN w:val="0"/>
        <w:adjustRightInd w:val="0"/>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丰宁县扶贫和农业开发办公室上年末固定资产金额为329万元（详见下表），本年度各单位拟购置固定资产总额为0万元。</w:t>
      </w:r>
    </w:p>
    <w:tbl>
      <w:tblPr>
        <w:tblStyle w:val="9"/>
        <w:tblW w:w="13482" w:type="dxa"/>
        <w:jc w:val="center"/>
        <w:tblInd w:w="0"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shd w:val="clear" w:color="auto" w:fill="auto"/>
            <w:vAlign w:val="center"/>
          </w:tcPr>
          <w:p>
            <w:pPr>
              <w:widowControl/>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编制部门：丰宁</w:t>
            </w:r>
            <w:r>
              <w:rPr>
                <w:rFonts w:hint="eastAsia" w:ascii="Times New Roman" w:hAnsi="Times New Roman" w:eastAsia="方正仿宋_GBK" w:cs="Times New Roman"/>
                <w:kern w:val="0"/>
                <w:sz w:val="22"/>
              </w:rPr>
              <w:t>满族自治</w:t>
            </w:r>
            <w:r>
              <w:rPr>
                <w:rFonts w:ascii="Times New Roman" w:hAnsi="Times New Roman" w:eastAsia="方正仿宋_GBK" w:cs="Times New Roman"/>
                <w:kern w:val="0"/>
                <w:sz w:val="22"/>
              </w:rPr>
              <w:t>县扶贫和农业开发办公室</w:t>
            </w:r>
          </w:p>
        </w:tc>
        <w:tc>
          <w:tcPr>
            <w:tcW w:w="5103" w:type="dxa"/>
            <w:tcBorders>
              <w:top w:val="nil"/>
              <w:left w:val="nil"/>
              <w:bottom w:val="nil"/>
              <w:right w:val="nil"/>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截止时间：2017年12月31日  </w:t>
            </w:r>
          </w:p>
        </w:tc>
      </w:tr>
      <w:tr>
        <w:tblPrEx>
          <w:tblLayout w:type="fixed"/>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价值（金额单位：万元）</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329</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1449</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221</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1449</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221</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1</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19</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3、单价在50万元以上的设备</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89</w:t>
            </w:r>
          </w:p>
        </w:tc>
      </w:tr>
    </w:tbl>
    <w:p>
      <w:pPr>
        <w:autoSpaceDE w:val="0"/>
        <w:autoSpaceDN w:val="0"/>
        <w:adjustRightInd w:val="0"/>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1、一般公共预算拨款收入：</w:t>
      </w:r>
      <w:r>
        <w:rPr>
          <w:rFonts w:ascii="Times New Roman" w:hAnsi="Times New Roman" w:eastAsia="方正仿宋_GBK" w:cs="Times New Roman"/>
          <w:sz w:val="32"/>
          <w:szCs w:val="32"/>
        </w:rPr>
        <w:t>指</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级财政当年拨付的资金。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3、基本支出：</w:t>
      </w:r>
      <w:r>
        <w:rPr>
          <w:rFonts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4、项目支出：</w:t>
      </w:r>
      <w:r>
        <w:rPr>
          <w:rFonts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5、“三公”经费：</w:t>
      </w:r>
      <w:r>
        <w:rPr>
          <w:rFonts w:ascii="Times New Roman" w:hAnsi="Times New Roman" w:eastAsia="方正仿宋_GBK" w:cs="Times New Roman"/>
          <w:sz w:val="32"/>
          <w:szCs w:val="32"/>
        </w:rPr>
        <w:t>纳入</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级财政预算管理的“三公”经费，是指</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6、机关运行费：</w:t>
      </w:r>
      <w:r>
        <w:rPr>
          <w:rFonts w:ascii="Times New Roman" w:hAnsi="Times New Roman" w:eastAsia="方正仿宋_GBK" w:cs="Times New Roman"/>
          <w:sz w:val="32"/>
          <w:szCs w:val="32"/>
        </w:rPr>
        <w:t>是指各部门的公用经费，包括办公费、印刷费、咨询费、手续费、电费、差旅费、维修费、租赁费、会议费、公务接待费、劳务费、工会经费、福利费、一般设备购置费、公务用车运行维护费以及其他费用等</w:t>
      </w:r>
    </w:p>
    <w:p>
      <w:pPr>
        <w:tabs>
          <w:tab w:val="left" w:pos="11490"/>
        </w:tabs>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sz w:val="32"/>
          <w:szCs w:val="32"/>
        </w:rPr>
        <w:t>我部门政府性基金预算财政拨款47万元，全部用于</w:t>
      </w:r>
      <w:r>
        <w:rPr>
          <w:rFonts w:hint="eastAsia" w:ascii="Times New Roman" w:hAnsi="Times New Roman" w:eastAsia="方正仿宋_GBK"/>
          <w:sz w:val="32"/>
          <w:szCs w:val="32"/>
        </w:rPr>
        <w:t>农业开发项目县级配套</w:t>
      </w:r>
      <w:r>
        <w:rPr>
          <w:rFonts w:ascii="Times New Roman" w:hAnsi="Times New Roman" w:eastAsia="方正仿宋_GBK"/>
          <w:sz w:val="32"/>
          <w:szCs w:val="32"/>
        </w:rPr>
        <w:t>。</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我部门无国有资本经营预算，《国有资本经营预算财政拨款支出表》为空表列示。</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预算批准日为2018</w:t>
      </w:r>
      <w:r>
        <w:rPr>
          <w:rFonts w:hint="eastAsia" w:ascii="Times New Roman" w:hAnsi="Times New Roman" w:eastAsia="方正仿宋_GBK" w:cs="Times New Roman"/>
          <w:sz w:val="32"/>
          <w:szCs w:val="32"/>
        </w:rPr>
        <w:t>年2月22日，批复文件文号丰财预【2018】</w:t>
      </w:r>
      <w:r>
        <w:rPr>
          <w:rFonts w:hint="eastAsia" w:ascii="Times New Roman" w:hAnsi="Times New Roman" w:eastAsia="方正仿宋_GBK" w:cs="Times New Roman"/>
          <w:sz w:val="32"/>
          <w:szCs w:val="32"/>
          <w:lang w:val="en-US" w:eastAsia="zh-CN"/>
        </w:rPr>
        <w:t>65</w:t>
      </w:r>
      <w:bookmarkStart w:id="3" w:name="_GoBack"/>
      <w:bookmarkEnd w:id="3"/>
      <w:r>
        <w:rPr>
          <w:rFonts w:hint="eastAsia" w:ascii="Times New Roman" w:hAnsi="Times New Roman" w:eastAsia="方正仿宋_GBK" w:cs="Times New Roman"/>
          <w:sz w:val="32"/>
          <w:szCs w:val="32"/>
        </w:rPr>
        <w:t>号。</w:t>
      </w:r>
    </w:p>
    <w:p>
      <w:pPr>
        <w:tabs>
          <w:tab w:val="left" w:pos="11490"/>
        </w:tabs>
        <w:ind w:firstLine="640" w:firstLineChars="200"/>
        <w:rPr>
          <w:rFonts w:ascii="Times New Roman" w:hAnsi="Times New Roman" w:eastAsia="方正仿宋_GBK" w:cs="Times New Roman"/>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547527"/>
    </w:sdtPr>
    <w:sdtContent>
      <w:p>
        <w:pPr>
          <w:pStyle w:val="3"/>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9C3"/>
    <w:rsid w:val="00027B99"/>
    <w:rsid w:val="000358DB"/>
    <w:rsid w:val="00037AF6"/>
    <w:rsid w:val="0005075C"/>
    <w:rsid w:val="000756EF"/>
    <w:rsid w:val="00075D5F"/>
    <w:rsid w:val="000A78C4"/>
    <w:rsid w:val="000B529B"/>
    <w:rsid w:val="000B75EB"/>
    <w:rsid w:val="000C3A19"/>
    <w:rsid w:val="000F6C1C"/>
    <w:rsid w:val="001245BB"/>
    <w:rsid w:val="001251A3"/>
    <w:rsid w:val="001329CD"/>
    <w:rsid w:val="00147BEA"/>
    <w:rsid w:val="00154A94"/>
    <w:rsid w:val="00157FF3"/>
    <w:rsid w:val="00196A70"/>
    <w:rsid w:val="001A3F4C"/>
    <w:rsid w:val="001B73B9"/>
    <w:rsid w:val="001D2094"/>
    <w:rsid w:val="001F7873"/>
    <w:rsid w:val="00222F64"/>
    <w:rsid w:val="00241FD4"/>
    <w:rsid w:val="00251B12"/>
    <w:rsid w:val="00266027"/>
    <w:rsid w:val="00293A59"/>
    <w:rsid w:val="00296113"/>
    <w:rsid w:val="002A202C"/>
    <w:rsid w:val="002A673A"/>
    <w:rsid w:val="002A7D60"/>
    <w:rsid w:val="002C5E13"/>
    <w:rsid w:val="002C62BC"/>
    <w:rsid w:val="002C6420"/>
    <w:rsid w:val="002E0EB8"/>
    <w:rsid w:val="002F3E58"/>
    <w:rsid w:val="00302F50"/>
    <w:rsid w:val="0030542C"/>
    <w:rsid w:val="00311B7A"/>
    <w:rsid w:val="00367C23"/>
    <w:rsid w:val="003831A4"/>
    <w:rsid w:val="00391FBF"/>
    <w:rsid w:val="003A613E"/>
    <w:rsid w:val="003B3EDA"/>
    <w:rsid w:val="004168F6"/>
    <w:rsid w:val="00424943"/>
    <w:rsid w:val="0043175C"/>
    <w:rsid w:val="00437296"/>
    <w:rsid w:val="00451590"/>
    <w:rsid w:val="00451871"/>
    <w:rsid w:val="00457F66"/>
    <w:rsid w:val="004607B7"/>
    <w:rsid w:val="004611DE"/>
    <w:rsid w:val="004706DE"/>
    <w:rsid w:val="004724F3"/>
    <w:rsid w:val="00472923"/>
    <w:rsid w:val="00477E85"/>
    <w:rsid w:val="004A2471"/>
    <w:rsid w:val="004B0C3A"/>
    <w:rsid w:val="004D5788"/>
    <w:rsid w:val="004E3066"/>
    <w:rsid w:val="004E74CD"/>
    <w:rsid w:val="0051665E"/>
    <w:rsid w:val="005309F2"/>
    <w:rsid w:val="00535309"/>
    <w:rsid w:val="0053690C"/>
    <w:rsid w:val="0054029F"/>
    <w:rsid w:val="00550813"/>
    <w:rsid w:val="00555DD0"/>
    <w:rsid w:val="0056270C"/>
    <w:rsid w:val="00570470"/>
    <w:rsid w:val="00572067"/>
    <w:rsid w:val="00573562"/>
    <w:rsid w:val="00581034"/>
    <w:rsid w:val="00583586"/>
    <w:rsid w:val="00590ECE"/>
    <w:rsid w:val="005C1631"/>
    <w:rsid w:val="005F0EDD"/>
    <w:rsid w:val="006072BA"/>
    <w:rsid w:val="00613DEA"/>
    <w:rsid w:val="00614A29"/>
    <w:rsid w:val="00632255"/>
    <w:rsid w:val="00673B93"/>
    <w:rsid w:val="00673D76"/>
    <w:rsid w:val="00681277"/>
    <w:rsid w:val="006854F0"/>
    <w:rsid w:val="0069278F"/>
    <w:rsid w:val="0069538F"/>
    <w:rsid w:val="006A6BC1"/>
    <w:rsid w:val="006B06D2"/>
    <w:rsid w:val="006B1C4A"/>
    <w:rsid w:val="006B610D"/>
    <w:rsid w:val="006D014F"/>
    <w:rsid w:val="006D06A9"/>
    <w:rsid w:val="006E49F5"/>
    <w:rsid w:val="006E51EC"/>
    <w:rsid w:val="006F109E"/>
    <w:rsid w:val="006F32D0"/>
    <w:rsid w:val="007013C8"/>
    <w:rsid w:val="00704F3B"/>
    <w:rsid w:val="007252F4"/>
    <w:rsid w:val="007471F9"/>
    <w:rsid w:val="007515B0"/>
    <w:rsid w:val="00753836"/>
    <w:rsid w:val="0075393C"/>
    <w:rsid w:val="00754592"/>
    <w:rsid w:val="00776C08"/>
    <w:rsid w:val="007A27F4"/>
    <w:rsid w:val="007B5EFE"/>
    <w:rsid w:val="007C219A"/>
    <w:rsid w:val="007E1DA8"/>
    <w:rsid w:val="007F4043"/>
    <w:rsid w:val="007F6C26"/>
    <w:rsid w:val="00813208"/>
    <w:rsid w:val="008334AE"/>
    <w:rsid w:val="00836FED"/>
    <w:rsid w:val="0083724E"/>
    <w:rsid w:val="00845271"/>
    <w:rsid w:val="00845CD2"/>
    <w:rsid w:val="00852B0D"/>
    <w:rsid w:val="00854B0F"/>
    <w:rsid w:val="008618EB"/>
    <w:rsid w:val="00867334"/>
    <w:rsid w:val="00881183"/>
    <w:rsid w:val="00881692"/>
    <w:rsid w:val="008A6576"/>
    <w:rsid w:val="008B3CC5"/>
    <w:rsid w:val="008B52CD"/>
    <w:rsid w:val="008E4261"/>
    <w:rsid w:val="008F4662"/>
    <w:rsid w:val="009039E5"/>
    <w:rsid w:val="00905D08"/>
    <w:rsid w:val="0092177D"/>
    <w:rsid w:val="00925753"/>
    <w:rsid w:val="00940775"/>
    <w:rsid w:val="009425F4"/>
    <w:rsid w:val="009579C1"/>
    <w:rsid w:val="00966C5C"/>
    <w:rsid w:val="00973104"/>
    <w:rsid w:val="00982161"/>
    <w:rsid w:val="0098793C"/>
    <w:rsid w:val="00993FC8"/>
    <w:rsid w:val="0099528E"/>
    <w:rsid w:val="00995BF0"/>
    <w:rsid w:val="009A16D5"/>
    <w:rsid w:val="009A353D"/>
    <w:rsid w:val="009A4D14"/>
    <w:rsid w:val="009B0B77"/>
    <w:rsid w:val="009B40E6"/>
    <w:rsid w:val="009B511E"/>
    <w:rsid w:val="009D0E6B"/>
    <w:rsid w:val="00A00E71"/>
    <w:rsid w:val="00A3458E"/>
    <w:rsid w:val="00A44E3D"/>
    <w:rsid w:val="00A72D2E"/>
    <w:rsid w:val="00A74447"/>
    <w:rsid w:val="00A74CE5"/>
    <w:rsid w:val="00A87F64"/>
    <w:rsid w:val="00A911E7"/>
    <w:rsid w:val="00A939D9"/>
    <w:rsid w:val="00AB21C5"/>
    <w:rsid w:val="00AB3220"/>
    <w:rsid w:val="00AD4967"/>
    <w:rsid w:val="00AD7316"/>
    <w:rsid w:val="00B16644"/>
    <w:rsid w:val="00B20712"/>
    <w:rsid w:val="00B43238"/>
    <w:rsid w:val="00B45DD3"/>
    <w:rsid w:val="00B46377"/>
    <w:rsid w:val="00B5556E"/>
    <w:rsid w:val="00B56474"/>
    <w:rsid w:val="00B75216"/>
    <w:rsid w:val="00B91D52"/>
    <w:rsid w:val="00B9477E"/>
    <w:rsid w:val="00B9490F"/>
    <w:rsid w:val="00BA1ACD"/>
    <w:rsid w:val="00BA5DAF"/>
    <w:rsid w:val="00BC4407"/>
    <w:rsid w:val="00BC6015"/>
    <w:rsid w:val="00BD09F8"/>
    <w:rsid w:val="00C26A8D"/>
    <w:rsid w:val="00C41F80"/>
    <w:rsid w:val="00C735DE"/>
    <w:rsid w:val="00C822BB"/>
    <w:rsid w:val="00C83623"/>
    <w:rsid w:val="00C8710C"/>
    <w:rsid w:val="00C87ADB"/>
    <w:rsid w:val="00C92D49"/>
    <w:rsid w:val="00CA08B2"/>
    <w:rsid w:val="00CA7176"/>
    <w:rsid w:val="00CB1CB7"/>
    <w:rsid w:val="00CB2A40"/>
    <w:rsid w:val="00CC75B0"/>
    <w:rsid w:val="00CD2773"/>
    <w:rsid w:val="00CE143B"/>
    <w:rsid w:val="00CE380F"/>
    <w:rsid w:val="00D27003"/>
    <w:rsid w:val="00D52A41"/>
    <w:rsid w:val="00D779C4"/>
    <w:rsid w:val="00D92E40"/>
    <w:rsid w:val="00DB1C60"/>
    <w:rsid w:val="00DD32DF"/>
    <w:rsid w:val="00DE60A3"/>
    <w:rsid w:val="00E0375C"/>
    <w:rsid w:val="00E167C7"/>
    <w:rsid w:val="00E177E8"/>
    <w:rsid w:val="00E32DED"/>
    <w:rsid w:val="00E53724"/>
    <w:rsid w:val="00E60B3B"/>
    <w:rsid w:val="00E75DEC"/>
    <w:rsid w:val="00E76A78"/>
    <w:rsid w:val="00E8404B"/>
    <w:rsid w:val="00E93430"/>
    <w:rsid w:val="00EC099D"/>
    <w:rsid w:val="00EC47F6"/>
    <w:rsid w:val="00EC4F2D"/>
    <w:rsid w:val="00F050C6"/>
    <w:rsid w:val="00F10904"/>
    <w:rsid w:val="00F17BC1"/>
    <w:rsid w:val="00F52B18"/>
    <w:rsid w:val="00F641BA"/>
    <w:rsid w:val="00F66032"/>
    <w:rsid w:val="00F676B6"/>
    <w:rsid w:val="00F87C1E"/>
    <w:rsid w:val="00F958C2"/>
    <w:rsid w:val="00F978B2"/>
    <w:rsid w:val="00FB0031"/>
    <w:rsid w:val="00FB5E28"/>
    <w:rsid w:val="00FB6467"/>
    <w:rsid w:val="00FE04CD"/>
    <w:rsid w:val="00FF0A22"/>
    <w:rsid w:val="00FF4634"/>
    <w:rsid w:val="00FF5267"/>
    <w:rsid w:val="01737FC9"/>
    <w:rsid w:val="0DED4925"/>
    <w:rsid w:val="3A024D34"/>
    <w:rsid w:val="48A02C9F"/>
    <w:rsid w:val="580577D5"/>
    <w:rsid w:val="7C263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toc 2"/>
    <w:basedOn w:val="1"/>
    <w:next w:val="1"/>
    <w:qFormat/>
    <w:uiPriority w:val="39"/>
    <w:pPr>
      <w:ind w:left="420" w:leftChars="200"/>
    </w:pPr>
    <w:rPr>
      <w:rFonts w:ascii="Times New Roman" w:hAnsi="Times New Roman" w:eastAsia="宋体" w:cs="Times New Roman"/>
      <w:szCs w:val="24"/>
    </w:rPr>
  </w:style>
  <w:style w:type="character" w:styleId="8">
    <w:name w:val="Hyperlink"/>
    <w:unhideWhenUsed/>
    <w:uiPriority w:val="99"/>
    <w:rPr>
      <w:color w:val="0000FF"/>
      <w:u w:val="single"/>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uiPriority w:val="99"/>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sz w:val="18"/>
      <w:szCs w:val="18"/>
    </w:rPr>
  </w:style>
  <w:style w:type="paragraph" w:customStyle="1" w:styleId="13">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4">
    <w:name w:val="正文文本 + 粗体"/>
    <w:basedOn w:val="7"/>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3D0B9-4773-4856-AB77-38D747AC8DC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832</Words>
  <Characters>4744</Characters>
  <Lines>39</Lines>
  <Paragraphs>11</Paragraphs>
  <TotalTime>2</TotalTime>
  <ScaleCrop>false</ScaleCrop>
  <LinksUpToDate>false</LinksUpToDate>
  <CharactersWithSpaces>5565</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Administrator</cp:lastModifiedBy>
  <cp:lastPrinted>2017-11-09T01:12:00Z</cp:lastPrinted>
  <dcterms:modified xsi:type="dcterms:W3CDTF">2019-01-18T05:43:13Z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