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黑体" w:hAnsi="黑体" w:eastAsia="黑体" w:cs="Times New Roman"/>
          <w:b/>
          <w:sz w:val="44"/>
          <w:szCs w:val="44"/>
        </w:rPr>
      </w:pPr>
      <w:r>
        <w:rPr>
          <w:rFonts w:ascii="黑体" w:hAnsi="黑体" w:eastAsia="黑体" w:cs="Times New Roman"/>
          <w:b/>
          <w:sz w:val="44"/>
          <w:szCs w:val="44"/>
        </w:rPr>
        <w:t>丰宁县扶贫和农业开发办公室2019年部门预算信息公开</w:t>
      </w:r>
    </w:p>
    <w:p>
      <w:pPr>
        <w:ind w:firstLine="640" w:firstLineChars="200"/>
        <w:rPr>
          <w:rFonts w:ascii="仿宋" w:hAnsi="仿宋" w:eastAsia="仿宋" w:cs="Times New Roman"/>
          <w:sz w:val="32"/>
          <w:szCs w:val="32"/>
        </w:rPr>
      </w:pPr>
      <w:r>
        <w:rPr>
          <w:rFonts w:ascii="仿宋" w:hAnsi="仿宋" w:eastAsia="仿宋" w:cs="Times New Roman"/>
          <w:sz w:val="32"/>
          <w:szCs w:val="32"/>
        </w:rPr>
        <w:t>按照《中华人民共和国预算法》、《地方预决算公开操作规程》和《河北省省级预算公开办法》规定，现将丰宁县扶贫和农业开发办公室2019年部门预算公开如下：</w:t>
      </w:r>
    </w:p>
    <w:p>
      <w:pPr>
        <w:ind w:firstLine="640"/>
        <w:rPr>
          <w:rFonts w:ascii="Times New Roman" w:hAnsi="Times New Roman" w:eastAsia="黑体" w:cs="Times New Roman"/>
          <w:b/>
          <w:sz w:val="32"/>
          <w:szCs w:val="32"/>
        </w:rPr>
      </w:pPr>
      <w:r>
        <w:rPr>
          <w:rFonts w:ascii="Times New Roman" w:hAnsi="Times New Roman" w:eastAsia="黑体" w:cs="Times New Roman"/>
          <w:b/>
          <w:sz w:val="32"/>
          <w:szCs w:val="32"/>
        </w:rPr>
        <w:t>一、部门职责及机构设置情况</w:t>
      </w:r>
    </w:p>
    <w:p>
      <w:pPr>
        <w:ind w:firstLine="643" w:firstLineChars="200"/>
        <w:rPr>
          <w:rFonts w:ascii="黑体" w:hAnsi="黑体" w:eastAsia="黑体" w:cs="Times New Roman"/>
          <w:b/>
          <w:sz w:val="32"/>
          <w:szCs w:val="32"/>
        </w:rPr>
      </w:pPr>
      <w:r>
        <w:rPr>
          <w:rFonts w:hint="eastAsia" w:ascii="黑体" w:hAnsi="黑体" w:eastAsia="黑体" w:cs="Times New Roman"/>
          <w:b/>
          <w:sz w:val="32"/>
          <w:szCs w:val="32"/>
          <w:lang w:val="en-US" w:eastAsia="zh-CN"/>
        </w:rPr>
        <w:t>1、</w:t>
      </w:r>
      <w:r>
        <w:rPr>
          <w:rFonts w:ascii="黑体" w:hAnsi="黑体" w:eastAsia="黑体" w:cs="Times New Roman"/>
          <w:b/>
          <w:sz w:val="32"/>
          <w:szCs w:val="32"/>
        </w:rPr>
        <w:t>部门职责：</w:t>
      </w:r>
    </w:p>
    <w:p>
      <w:pPr>
        <w:ind w:firstLine="640" w:firstLineChars="200"/>
        <w:rPr>
          <w:rFonts w:ascii="仿宋" w:hAnsi="仿宋" w:eastAsia="仿宋" w:cs="Times New Roman"/>
          <w:sz w:val="32"/>
          <w:szCs w:val="32"/>
        </w:rPr>
      </w:pPr>
      <w:r>
        <w:rPr>
          <w:rFonts w:ascii="仿宋" w:hAnsi="仿宋" w:eastAsia="仿宋" w:cs="Times New Roman"/>
          <w:sz w:val="32"/>
          <w:szCs w:val="32"/>
        </w:rPr>
        <w:t>（一）贯彻落实国家、省、市各项扶贫开发方针政策和法律法规;组织拟订全县扶贫开发中长期规划和制订相关政策；负责扶贫开发项目的规划、立项和储备工作。</w:t>
      </w:r>
    </w:p>
    <w:p>
      <w:pPr>
        <w:ind w:firstLine="640" w:firstLineChars="200"/>
        <w:rPr>
          <w:rFonts w:ascii="仿宋" w:hAnsi="仿宋" w:eastAsia="仿宋" w:cs="Times New Roman"/>
          <w:sz w:val="32"/>
          <w:szCs w:val="32"/>
        </w:rPr>
      </w:pPr>
      <w:r>
        <w:rPr>
          <w:rFonts w:ascii="仿宋" w:hAnsi="仿宋" w:eastAsia="仿宋" w:cs="Times New Roman"/>
          <w:sz w:val="32"/>
          <w:szCs w:val="32"/>
        </w:rPr>
        <w:t>（二）负责全县贫困状况的统计监测工作；负责组织落实国家专项扶贫资金投入扶持项目的申报并组织实施；负责监督检查扶贫专项资金、物资的管理使用情况。</w:t>
      </w:r>
    </w:p>
    <w:p>
      <w:pPr>
        <w:ind w:firstLine="640" w:firstLineChars="200"/>
        <w:rPr>
          <w:rFonts w:ascii="仿宋" w:hAnsi="仿宋" w:eastAsia="仿宋" w:cs="Times New Roman"/>
          <w:sz w:val="32"/>
          <w:szCs w:val="32"/>
        </w:rPr>
      </w:pPr>
      <w:r>
        <w:rPr>
          <w:rFonts w:ascii="仿宋" w:hAnsi="仿宋" w:eastAsia="仿宋" w:cs="Times New Roman"/>
          <w:sz w:val="32"/>
          <w:szCs w:val="32"/>
        </w:rPr>
        <w:t>（三）组织协调社会各界参与扶贫开发工作，联络中央、省、市直国家机关和民主党派、群众团体、部队、发达地区部门单位、大专院校对口帮扶贫困村工作；负责扶贫开发的国际交流与合作；组织协调县直以下单位的帮扶工作；协调社会各行业职能部门的扶贫投入。</w:t>
      </w:r>
    </w:p>
    <w:p>
      <w:pPr>
        <w:ind w:firstLine="640" w:firstLineChars="200"/>
        <w:rPr>
          <w:rFonts w:ascii="仿宋" w:hAnsi="仿宋" w:eastAsia="仿宋" w:cs="Times New Roman"/>
          <w:sz w:val="32"/>
          <w:szCs w:val="32"/>
        </w:rPr>
      </w:pPr>
      <w:r>
        <w:rPr>
          <w:rFonts w:ascii="仿宋" w:hAnsi="仿宋" w:eastAsia="仿宋" w:cs="Times New Roman"/>
          <w:sz w:val="32"/>
          <w:szCs w:val="32"/>
        </w:rPr>
        <w:t>（四）负责社会各界扶贫捐赠资金、物资的接收和管理工作；拟订扶贫开发资金、物资的分配使用计划。</w:t>
      </w:r>
    </w:p>
    <w:p>
      <w:pPr>
        <w:ind w:firstLine="640" w:firstLineChars="200"/>
        <w:rPr>
          <w:rFonts w:ascii="仿宋" w:hAnsi="仿宋" w:eastAsia="仿宋" w:cs="Times New Roman"/>
          <w:sz w:val="32"/>
          <w:szCs w:val="32"/>
        </w:rPr>
      </w:pPr>
      <w:r>
        <w:rPr>
          <w:rFonts w:ascii="仿宋" w:hAnsi="仿宋" w:eastAsia="仿宋" w:cs="Times New Roman"/>
          <w:sz w:val="32"/>
          <w:szCs w:val="32"/>
        </w:rPr>
        <w:t>（五）认定和管理扶贫龙头企业，负责扶贫龙头企业、扶贫产业生产基地建设的扶持政策落实等产业化扶贫工作。</w:t>
      </w:r>
    </w:p>
    <w:p>
      <w:pPr>
        <w:ind w:firstLine="640" w:firstLineChars="200"/>
        <w:rPr>
          <w:rFonts w:ascii="仿宋" w:hAnsi="仿宋" w:eastAsia="仿宋" w:cs="Times New Roman"/>
          <w:sz w:val="32"/>
          <w:szCs w:val="32"/>
        </w:rPr>
      </w:pPr>
      <w:r>
        <w:rPr>
          <w:rFonts w:ascii="仿宋" w:hAnsi="仿宋" w:eastAsia="仿宋" w:cs="Times New Roman"/>
          <w:sz w:val="32"/>
          <w:szCs w:val="32"/>
        </w:rPr>
        <w:t>（六）负责组织扶贫开发重大问题和事项的调查研究，了解和收集扶贫开发信息；负责扶贫开发宣传工作。</w:t>
      </w:r>
    </w:p>
    <w:p>
      <w:pPr>
        <w:ind w:firstLine="640" w:firstLineChars="200"/>
        <w:rPr>
          <w:rFonts w:ascii="仿宋" w:hAnsi="仿宋" w:eastAsia="仿宋" w:cs="Times New Roman"/>
          <w:sz w:val="32"/>
          <w:szCs w:val="32"/>
        </w:rPr>
      </w:pPr>
      <w:r>
        <w:rPr>
          <w:rFonts w:ascii="仿宋" w:hAnsi="仿宋" w:eastAsia="仿宋" w:cs="Times New Roman"/>
          <w:sz w:val="32"/>
          <w:szCs w:val="32"/>
        </w:rPr>
        <w:t>（七）组织实施县内县、乡、村各级干部的扶贫业务培训和贫困劳动力转移培训工作，组织扶贫实用技术与推广工作。</w:t>
      </w:r>
    </w:p>
    <w:p>
      <w:pPr>
        <w:ind w:firstLine="640" w:firstLineChars="200"/>
        <w:rPr>
          <w:rFonts w:ascii="仿宋" w:hAnsi="仿宋" w:eastAsia="仿宋" w:cs="Times New Roman"/>
          <w:sz w:val="32"/>
          <w:szCs w:val="32"/>
        </w:rPr>
      </w:pPr>
      <w:r>
        <w:rPr>
          <w:rFonts w:ascii="仿宋" w:hAnsi="仿宋" w:eastAsia="仿宋" w:cs="Times New Roman"/>
          <w:sz w:val="32"/>
          <w:szCs w:val="32"/>
        </w:rPr>
        <w:t>（八）贯彻、执行国家农业综合开发方针、政策；编制全县农业综合开发总体规划；负责项目推荐、评估论证和申报，经批准后组织实施、检查验收，落实项目工程管护主体。</w:t>
      </w:r>
    </w:p>
    <w:p>
      <w:pPr>
        <w:autoSpaceDE w:val="0"/>
        <w:autoSpaceDN w:val="0"/>
        <w:adjustRightInd w:val="0"/>
        <w:ind w:firstLine="643" w:firstLineChars="200"/>
        <w:jc w:val="left"/>
        <w:rPr>
          <w:rFonts w:ascii="仿宋" w:hAnsi="仿宋" w:eastAsia="仿宋" w:cs="Times New Roman"/>
          <w:b/>
          <w:sz w:val="32"/>
          <w:szCs w:val="32"/>
        </w:rPr>
      </w:pPr>
      <w:r>
        <w:rPr>
          <w:rFonts w:hint="eastAsia" w:ascii="黑体" w:hAnsi="黑体" w:eastAsia="黑体" w:cs="Times New Roman"/>
          <w:b/>
          <w:sz w:val="32"/>
          <w:szCs w:val="32"/>
          <w:lang w:val="en-US" w:eastAsia="zh-CN"/>
        </w:rPr>
        <w:t>2、</w:t>
      </w:r>
      <w:r>
        <w:rPr>
          <w:rFonts w:ascii="黑体" w:hAnsi="黑体" w:eastAsia="黑体" w:cs="Times New Roman"/>
          <w:b/>
          <w:sz w:val="32"/>
          <w:szCs w:val="32"/>
        </w:rPr>
        <w:t>机构设置：</w:t>
      </w:r>
    </w:p>
    <w:p>
      <w:pPr>
        <w:ind w:firstLine="800" w:firstLineChars="250"/>
        <w:outlineLvl w:val="0"/>
        <w:rPr>
          <w:rFonts w:ascii="仿宋" w:hAnsi="仿宋" w:eastAsia="仿宋" w:cs="Times New Roman"/>
          <w:sz w:val="32"/>
          <w:szCs w:val="32"/>
        </w:rPr>
      </w:pPr>
      <w:r>
        <w:rPr>
          <w:rFonts w:hint="eastAsia" w:ascii="仿宋" w:hAnsi="仿宋" w:eastAsia="仿宋" w:cs="Times New Roman"/>
          <w:sz w:val="32"/>
          <w:szCs w:val="32"/>
        </w:rPr>
        <w:t>我单位部内设7个机构：</w:t>
      </w:r>
      <w:r>
        <w:rPr>
          <w:rFonts w:hint="eastAsia" w:ascii="仿宋" w:hAnsi="仿宋" w:eastAsia="仿宋" w:cs="方正仿宋_GBK"/>
          <w:bCs/>
          <w:sz w:val="32"/>
          <w:szCs w:val="32"/>
        </w:rPr>
        <w:t>党政办公室、</w:t>
      </w:r>
      <w:r>
        <w:rPr>
          <w:rFonts w:hint="eastAsia" w:ascii="仿宋" w:hAnsi="仿宋" w:eastAsia="仿宋" w:cs="方正仿宋_GBK"/>
          <w:sz w:val="32"/>
          <w:szCs w:val="32"/>
        </w:rPr>
        <w:t>综合股、</w:t>
      </w:r>
      <w:r>
        <w:rPr>
          <w:rFonts w:hint="eastAsia" w:ascii="仿宋" w:hAnsi="仿宋" w:eastAsia="仿宋" w:cs="方正仿宋_GBK"/>
          <w:bCs/>
          <w:sz w:val="32"/>
          <w:szCs w:val="32"/>
        </w:rPr>
        <w:t>扶贫项目股、督查评审股、社会扶贫股、土地治理项目股、产业化项目股等7个股室。</w:t>
      </w:r>
    </w:p>
    <w:p>
      <w:pPr>
        <w:jc w:val="center"/>
        <w:outlineLvl w:val="0"/>
        <w:rPr>
          <w:rFonts w:ascii="仿宋" w:hAnsi="仿宋" w:eastAsia="仿宋" w:cs="Times New Roman"/>
          <w:b/>
          <w:sz w:val="32"/>
          <w:szCs w:val="32"/>
        </w:rPr>
      </w:pPr>
      <w:r>
        <w:rPr>
          <w:rFonts w:ascii="仿宋" w:hAnsi="仿宋" w:eastAsia="仿宋" w:cs="Times New Roman"/>
          <w:b/>
          <w:sz w:val="32"/>
          <w:szCs w:val="32"/>
        </w:rPr>
        <w:t>部门机构设置情况</w:t>
      </w:r>
    </w:p>
    <w:tbl>
      <w:tblPr>
        <w:tblStyle w:val="11"/>
        <w:tblW w:w="10645" w:type="dxa"/>
        <w:jc w:val="center"/>
        <w:tblInd w:w="-3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95"/>
        <w:gridCol w:w="1134"/>
        <w:gridCol w:w="1276"/>
        <w:gridCol w:w="3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795" w:type="dxa"/>
            <w:vMerge w:val="restart"/>
            <w:shd w:val="clear" w:color="auto" w:fill="auto"/>
            <w:vAlign w:val="center"/>
          </w:tcPr>
          <w:p>
            <w:pPr>
              <w:spacing w:line="300" w:lineRule="exact"/>
              <w:jc w:val="center"/>
              <w:rPr>
                <w:rFonts w:ascii="仿宋" w:hAnsi="仿宋" w:eastAsia="仿宋" w:cs="方正仿宋_GBK"/>
                <w:b/>
                <w:color w:val="auto"/>
                <w:sz w:val="28"/>
                <w:szCs w:val="28"/>
              </w:rPr>
            </w:pPr>
            <w:r>
              <w:rPr>
                <w:rFonts w:hint="eastAsia" w:ascii="仿宋" w:hAnsi="仿宋" w:eastAsia="仿宋" w:cs="方正仿宋_GBK"/>
                <w:b/>
                <w:color w:val="auto"/>
                <w:sz w:val="28"/>
                <w:szCs w:val="28"/>
              </w:rPr>
              <w:t>单位名称</w:t>
            </w:r>
          </w:p>
        </w:tc>
        <w:tc>
          <w:tcPr>
            <w:tcW w:w="1134" w:type="dxa"/>
            <w:vMerge w:val="restart"/>
            <w:shd w:val="clear" w:color="auto" w:fill="auto"/>
            <w:vAlign w:val="center"/>
          </w:tcPr>
          <w:p>
            <w:pPr>
              <w:spacing w:line="300" w:lineRule="exact"/>
              <w:jc w:val="center"/>
              <w:rPr>
                <w:rFonts w:ascii="仿宋" w:hAnsi="仿宋" w:eastAsia="仿宋" w:cs="方正仿宋_GBK"/>
                <w:b/>
                <w:color w:val="auto"/>
                <w:sz w:val="28"/>
                <w:szCs w:val="28"/>
              </w:rPr>
            </w:pPr>
            <w:r>
              <w:rPr>
                <w:rFonts w:hint="eastAsia" w:ascii="仿宋" w:hAnsi="仿宋" w:eastAsia="仿宋" w:cs="方正仿宋_GBK"/>
                <w:b/>
                <w:color w:val="auto"/>
                <w:sz w:val="28"/>
                <w:szCs w:val="28"/>
              </w:rPr>
              <w:t>单位性质</w:t>
            </w:r>
          </w:p>
        </w:tc>
        <w:tc>
          <w:tcPr>
            <w:tcW w:w="1276" w:type="dxa"/>
            <w:vMerge w:val="restart"/>
            <w:shd w:val="clear" w:color="auto" w:fill="auto"/>
            <w:vAlign w:val="center"/>
          </w:tcPr>
          <w:p>
            <w:pPr>
              <w:spacing w:line="300" w:lineRule="exact"/>
              <w:jc w:val="center"/>
              <w:rPr>
                <w:rFonts w:ascii="仿宋" w:hAnsi="仿宋" w:eastAsia="仿宋" w:cs="方正仿宋_GBK"/>
                <w:b/>
                <w:color w:val="auto"/>
                <w:sz w:val="28"/>
                <w:szCs w:val="28"/>
              </w:rPr>
            </w:pPr>
            <w:r>
              <w:rPr>
                <w:rFonts w:hint="eastAsia" w:ascii="仿宋" w:hAnsi="仿宋" w:eastAsia="仿宋" w:cs="方正仿宋_GBK"/>
                <w:b/>
                <w:color w:val="auto"/>
                <w:sz w:val="28"/>
                <w:szCs w:val="28"/>
              </w:rPr>
              <w:t>单位规格</w:t>
            </w:r>
          </w:p>
        </w:tc>
        <w:tc>
          <w:tcPr>
            <w:tcW w:w="3440" w:type="dxa"/>
            <w:vMerge w:val="restart"/>
            <w:shd w:val="clear" w:color="auto" w:fill="auto"/>
            <w:vAlign w:val="center"/>
          </w:tcPr>
          <w:p>
            <w:pPr>
              <w:spacing w:line="300" w:lineRule="exact"/>
              <w:jc w:val="center"/>
              <w:rPr>
                <w:rFonts w:ascii="仿宋" w:hAnsi="仿宋" w:eastAsia="仿宋" w:cs="方正仿宋_GBK"/>
                <w:b/>
                <w:color w:val="auto"/>
                <w:sz w:val="28"/>
                <w:szCs w:val="28"/>
              </w:rPr>
            </w:pPr>
            <w:r>
              <w:rPr>
                <w:rFonts w:hint="eastAsia" w:ascii="仿宋" w:hAnsi="仿宋" w:eastAsia="仿宋" w:cs="方正仿宋_GBK"/>
                <w:b/>
                <w:color w:val="auto"/>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795" w:type="dxa"/>
            <w:vMerge w:val="continue"/>
            <w:shd w:val="clear" w:color="auto" w:fill="auto"/>
            <w:vAlign w:val="center"/>
          </w:tcPr>
          <w:p>
            <w:pPr>
              <w:spacing w:line="300" w:lineRule="exact"/>
              <w:jc w:val="left"/>
              <w:outlineLvl w:val="0"/>
              <w:rPr>
                <w:rFonts w:ascii="仿宋" w:hAnsi="仿宋" w:eastAsia="仿宋" w:cs="方正仿宋_GBK"/>
                <w:color w:val="auto"/>
                <w:sz w:val="28"/>
                <w:szCs w:val="28"/>
              </w:rPr>
            </w:pPr>
          </w:p>
        </w:tc>
        <w:tc>
          <w:tcPr>
            <w:tcW w:w="1134" w:type="dxa"/>
            <w:vMerge w:val="continue"/>
            <w:shd w:val="clear" w:color="auto" w:fill="auto"/>
            <w:vAlign w:val="center"/>
          </w:tcPr>
          <w:p>
            <w:pPr>
              <w:spacing w:line="300" w:lineRule="exact"/>
              <w:jc w:val="left"/>
              <w:outlineLvl w:val="0"/>
              <w:rPr>
                <w:rFonts w:ascii="仿宋" w:hAnsi="仿宋" w:eastAsia="仿宋" w:cs="方正仿宋_GBK"/>
                <w:color w:val="auto"/>
                <w:sz w:val="28"/>
                <w:szCs w:val="28"/>
              </w:rPr>
            </w:pPr>
          </w:p>
        </w:tc>
        <w:tc>
          <w:tcPr>
            <w:tcW w:w="1276" w:type="dxa"/>
            <w:vMerge w:val="continue"/>
            <w:shd w:val="clear" w:color="auto" w:fill="auto"/>
            <w:vAlign w:val="center"/>
          </w:tcPr>
          <w:p>
            <w:pPr>
              <w:spacing w:line="300" w:lineRule="exact"/>
              <w:jc w:val="left"/>
              <w:outlineLvl w:val="0"/>
              <w:rPr>
                <w:rFonts w:ascii="仿宋" w:hAnsi="仿宋" w:eastAsia="仿宋" w:cs="方正仿宋_GBK"/>
                <w:color w:val="auto"/>
                <w:sz w:val="28"/>
                <w:szCs w:val="28"/>
              </w:rPr>
            </w:pPr>
          </w:p>
        </w:tc>
        <w:tc>
          <w:tcPr>
            <w:tcW w:w="3440" w:type="dxa"/>
            <w:vMerge w:val="continue"/>
            <w:shd w:val="clear" w:color="auto" w:fill="auto"/>
            <w:vAlign w:val="center"/>
          </w:tcPr>
          <w:p>
            <w:pPr>
              <w:spacing w:line="300" w:lineRule="exact"/>
              <w:jc w:val="left"/>
              <w:outlineLvl w:val="0"/>
              <w:rPr>
                <w:rFonts w:ascii="仿宋" w:hAnsi="仿宋" w:eastAsia="仿宋" w:cs="方正仿宋_GBK"/>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795" w:type="dxa"/>
            <w:shd w:val="clear" w:color="auto" w:fill="auto"/>
            <w:vAlign w:val="center"/>
          </w:tcPr>
          <w:p>
            <w:pPr>
              <w:spacing w:line="300" w:lineRule="exact"/>
              <w:jc w:val="left"/>
              <w:rPr>
                <w:rFonts w:ascii="仿宋" w:hAnsi="仿宋" w:eastAsia="仿宋" w:cs="方正仿宋_GBK"/>
                <w:color w:val="auto"/>
                <w:sz w:val="28"/>
                <w:szCs w:val="28"/>
              </w:rPr>
            </w:pPr>
            <w:r>
              <w:rPr>
                <w:rFonts w:hint="eastAsia" w:ascii="仿宋" w:hAnsi="仿宋" w:eastAsia="仿宋" w:cs="方正仿宋_GBK"/>
                <w:bCs/>
                <w:color w:val="auto"/>
                <w:sz w:val="28"/>
                <w:szCs w:val="28"/>
              </w:rPr>
              <w:t>党政办公室</w:t>
            </w:r>
          </w:p>
        </w:tc>
        <w:tc>
          <w:tcPr>
            <w:tcW w:w="1134"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事业</w:t>
            </w:r>
          </w:p>
        </w:tc>
        <w:tc>
          <w:tcPr>
            <w:tcW w:w="1276"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股级</w:t>
            </w:r>
          </w:p>
        </w:tc>
        <w:tc>
          <w:tcPr>
            <w:tcW w:w="3440"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795" w:type="dxa"/>
            <w:shd w:val="clear" w:color="auto" w:fill="auto"/>
            <w:vAlign w:val="center"/>
          </w:tcPr>
          <w:p>
            <w:pPr>
              <w:spacing w:line="300" w:lineRule="exact"/>
              <w:jc w:val="left"/>
              <w:rPr>
                <w:rFonts w:ascii="仿宋" w:hAnsi="仿宋" w:eastAsia="仿宋" w:cs="方正仿宋_GBK"/>
                <w:color w:val="auto"/>
                <w:sz w:val="28"/>
                <w:szCs w:val="28"/>
              </w:rPr>
            </w:pPr>
            <w:r>
              <w:rPr>
                <w:rFonts w:hint="eastAsia" w:ascii="仿宋" w:hAnsi="仿宋" w:eastAsia="仿宋" w:cs="方正仿宋_GBK"/>
                <w:color w:val="auto"/>
                <w:sz w:val="28"/>
                <w:szCs w:val="28"/>
              </w:rPr>
              <w:t>综合股</w:t>
            </w:r>
          </w:p>
        </w:tc>
        <w:tc>
          <w:tcPr>
            <w:tcW w:w="1134"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事业</w:t>
            </w:r>
          </w:p>
        </w:tc>
        <w:tc>
          <w:tcPr>
            <w:tcW w:w="1276"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股级</w:t>
            </w:r>
          </w:p>
        </w:tc>
        <w:tc>
          <w:tcPr>
            <w:tcW w:w="3440"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795" w:type="dxa"/>
            <w:shd w:val="clear" w:color="auto" w:fill="auto"/>
            <w:vAlign w:val="center"/>
          </w:tcPr>
          <w:p>
            <w:pPr>
              <w:spacing w:line="300" w:lineRule="exact"/>
              <w:jc w:val="left"/>
              <w:rPr>
                <w:rFonts w:ascii="仿宋" w:hAnsi="仿宋" w:eastAsia="仿宋" w:cs="方正仿宋_GBK"/>
                <w:color w:val="auto"/>
                <w:sz w:val="28"/>
                <w:szCs w:val="28"/>
              </w:rPr>
            </w:pPr>
            <w:r>
              <w:rPr>
                <w:rFonts w:hint="eastAsia" w:ascii="仿宋" w:hAnsi="仿宋" w:eastAsia="仿宋" w:cs="方正仿宋_GBK"/>
                <w:bCs/>
                <w:color w:val="auto"/>
                <w:sz w:val="28"/>
                <w:szCs w:val="28"/>
              </w:rPr>
              <w:t>扶贫项目股</w:t>
            </w:r>
          </w:p>
        </w:tc>
        <w:tc>
          <w:tcPr>
            <w:tcW w:w="1134"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事业</w:t>
            </w:r>
          </w:p>
        </w:tc>
        <w:tc>
          <w:tcPr>
            <w:tcW w:w="1276"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股级</w:t>
            </w:r>
          </w:p>
        </w:tc>
        <w:tc>
          <w:tcPr>
            <w:tcW w:w="3440"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795" w:type="dxa"/>
            <w:shd w:val="clear" w:color="auto" w:fill="auto"/>
            <w:vAlign w:val="center"/>
          </w:tcPr>
          <w:p>
            <w:pPr>
              <w:spacing w:line="300" w:lineRule="exact"/>
              <w:jc w:val="left"/>
              <w:rPr>
                <w:rFonts w:ascii="仿宋" w:hAnsi="仿宋" w:eastAsia="仿宋" w:cs="方正仿宋_GBK"/>
                <w:color w:val="auto"/>
                <w:sz w:val="28"/>
                <w:szCs w:val="28"/>
              </w:rPr>
            </w:pPr>
            <w:r>
              <w:rPr>
                <w:rFonts w:hint="eastAsia" w:ascii="仿宋" w:hAnsi="仿宋" w:eastAsia="仿宋" w:cs="方正仿宋_GBK"/>
                <w:bCs/>
                <w:color w:val="auto"/>
                <w:sz w:val="28"/>
                <w:szCs w:val="28"/>
              </w:rPr>
              <w:t>督查评审股</w:t>
            </w:r>
          </w:p>
        </w:tc>
        <w:tc>
          <w:tcPr>
            <w:tcW w:w="1134"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事业</w:t>
            </w:r>
          </w:p>
        </w:tc>
        <w:tc>
          <w:tcPr>
            <w:tcW w:w="1276"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股级</w:t>
            </w:r>
          </w:p>
        </w:tc>
        <w:tc>
          <w:tcPr>
            <w:tcW w:w="3440"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795" w:type="dxa"/>
            <w:shd w:val="clear" w:color="auto" w:fill="auto"/>
            <w:vAlign w:val="center"/>
          </w:tcPr>
          <w:p>
            <w:pPr>
              <w:spacing w:line="300" w:lineRule="exact"/>
              <w:jc w:val="left"/>
              <w:rPr>
                <w:rFonts w:ascii="仿宋" w:hAnsi="仿宋" w:eastAsia="仿宋" w:cs="方正仿宋_GBK"/>
                <w:color w:val="auto"/>
                <w:sz w:val="28"/>
                <w:szCs w:val="28"/>
              </w:rPr>
            </w:pPr>
            <w:r>
              <w:rPr>
                <w:rFonts w:hint="eastAsia" w:ascii="仿宋" w:hAnsi="仿宋" w:eastAsia="仿宋" w:cs="方正仿宋_GBK"/>
                <w:bCs/>
                <w:color w:val="auto"/>
                <w:sz w:val="28"/>
                <w:szCs w:val="28"/>
              </w:rPr>
              <w:t>社会扶贫股</w:t>
            </w:r>
          </w:p>
        </w:tc>
        <w:tc>
          <w:tcPr>
            <w:tcW w:w="1134"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事业</w:t>
            </w:r>
          </w:p>
        </w:tc>
        <w:tc>
          <w:tcPr>
            <w:tcW w:w="1276"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股级</w:t>
            </w:r>
          </w:p>
        </w:tc>
        <w:tc>
          <w:tcPr>
            <w:tcW w:w="3440"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795" w:type="dxa"/>
            <w:shd w:val="clear" w:color="auto" w:fill="auto"/>
            <w:vAlign w:val="center"/>
          </w:tcPr>
          <w:p>
            <w:pPr>
              <w:spacing w:line="300" w:lineRule="exact"/>
              <w:jc w:val="left"/>
              <w:rPr>
                <w:rFonts w:ascii="仿宋" w:hAnsi="仿宋" w:eastAsia="仿宋" w:cs="方正仿宋_GBK"/>
                <w:color w:val="auto"/>
                <w:sz w:val="28"/>
                <w:szCs w:val="28"/>
              </w:rPr>
            </w:pPr>
            <w:r>
              <w:rPr>
                <w:rFonts w:hint="eastAsia" w:ascii="仿宋" w:hAnsi="仿宋" w:eastAsia="仿宋" w:cs="方正仿宋_GBK"/>
                <w:bCs/>
                <w:color w:val="auto"/>
                <w:sz w:val="28"/>
                <w:szCs w:val="28"/>
              </w:rPr>
              <w:t>土地治理项目股</w:t>
            </w:r>
          </w:p>
        </w:tc>
        <w:tc>
          <w:tcPr>
            <w:tcW w:w="1134"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事业</w:t>
            </w:r>
          </w:p>
        </w:tc>
        <w:tc>
          <w:tcPr>
            <w:tcW w:w="1276"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股级</w:t>
            </w:r>
          </w:p>
        </w:tc>
        <w:tc>
          <w:tcPr>
            <w:tcW w:w="3440"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795" w:type="dxa"/>
            <w:shd w:val="clear" w:color="auto" w:fill="auto"/>
            <w:vAlign w:val="center"/>
          </w:tcPr>
          <w:p>
            <w:pPr>
              <w:spacing w:line="300" w:lineRule="exact"/>
              <w:jc w:val="left"/>
              <w:rPr>
                <w:rFonts w:ascii="仿宋" w:hAnsi="仿宋" w:eastAsia="仿宋" w:cs="方正仿宋_GBK"/>
                <w:color w:val="auto"/>
                <w:sz w:val="28"/>
                <w:szCs w:val="28"/>
              </w:rPr>
            </w:pPr>
            <w:r>
              <w:rPr>
                <w:rFonts w:hint="eastAsia" w:ascii="仿宋" w:hAnsi="仿宋" w:eastAsia="仿宋" w:cs="方正仿宋_GBK"/>
                <w:bCs/>
                <w:color w:val="auto"/>
                <w:sz w:val="28"/>
                <w:szCs w:val="28"/>
              </w:rPr>
              <w:t>产业化项目股</w:t>
            </w:r>
          </w:p>
        </w:tc>
        <w:tc>
          <w:tcPr>
            <w:tcW w:w="1134"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事业</w:t>
            </w:r>
          </w:p>
        </w:tc>
        <w:tc>
          <w:tcPr>
            <w:tcW w:w="1276"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股级</w:t>
            </w:r>
          </w:p>
        </w:tc>
        <w:tc>
          <w:tcPr>
            <w:tcW w:w="3440" w:type="dxa"/>
            <w:shd w:val="clear" w:color="auto" w:fill="auto"/>
            <w:vAlign w:val="center"/>
          </w:tcPr>
          <w:p>
            <w:pPr>
              <w:spacing w:line="300" w:lineRule="exact"/>
              <w:jc w:val="center"/>
              <w:rPr>
                <w:rFonts w:ascii="仿宋" w:hAnsi="仿宋" w:eastAsia="仿宋" w:cs="方正仿宋_GBK"/>
                <w:color w:val="auto"/>
                <w:sz w:val="28"/>
                <w:szCs w:val="28"/>
              </w:rPr>
            </w:pPr>
            <w:r>
              <w:rPr>
                <w:rFonts w:hint="eastAsia" w:ascii="仿宋" w:hAnsi="仿宋" w:eastAsia="仿宋" w:cs="方正仿宋_GBK"/>
                <w:color w:val="auto"/>
                <w:sz w:val="28"/>
                <w:szCs w:val="28"/>
              </w:rPr>
              <w:t>财政性资金基本保证</w:t>
            </w:r>
          </w:p>
        </w:tc>
      </w:tr>
    </w:tbl>
    <w:p>
      <w:pPr>
        <w:snapToGrid w:val="0"/>
        <w:spacing w:line="360" w:lineRule="auto"/>
        <w:ind w:left="720"/>
        <w:jc w:val="center"/>
        <w:outlineLvl w:val="0"/>
        <w:rPr>
          <w:rFonts w:ascii="仿宋" w:hAnsi="仿宋" w:eastAsia="仿宋" w:cs="黑体"/>
          <w:b/>
          <w:bCs/>
          <w:color w:val="FF0000"/>
          <w:sz w:val="32"/>
          <w:szCs w:val="32"/>
        </w:rPr>
      </w:pPr>
    </w:p>
    <w:p>
      <w:pPr>
        <w:snapToGrid w:val="0"/>
        <w:spacing w:line="360" w:lineRule="auto"/>
        <w:ind w:left="720"/>
        <w:jc w:val="center"/>
        <w:outlineLvl w:val="0"/>
        <w:rPr>
          <w:rFonts w:ascii="仿宋" w:hAnsi="仿宋" w:eastAsia="仿宋" w:cs="黑体"/>
          <w:b/>
          <w:bCs/>
          <w:color w:val="FF0000"/>
          <w:sz w:val="32"/>
          <w:szCs w:val="32"/>
        </w:rPr>
      </w:pPr>
    </w:p>
    <w:p>
      <w:pPr>
        <w:snapToGrid w:val="0"/>
        <w:spacing w:line="360" w:lineRule="auto"/>
        <w:ind w:left="720"/>
        <w:jc w:val="center"/>
        <w:outlineLvl w:val="0"/>
        <w:rPr>
          <w:rFonts w:ascii="仿宋" w:hAnsi="仿宋" w:eastAsia="仿宋" w:cs="黑体"/>
          <w:b/>
          <w:bCs/>
          <w:color w:val="000000" w:themeColor="text1"/>
          <w:sz w:val="32"/>
          <w:szCs w:val="32"/>
        </w:rPr>
      </w:pPr>
      <w:r>
        <w:rPr>
          <w:rFonts w:hint="eastAsia" w:ascii="仿宋" w:hAnsi="仿宋" w:eastAsia="仿宋" w:cs="黑体"/>
          <w:b/>
          <w:bCs/>
          <w:color w:val="000000" w:themeColor="text1"/>
          <w:sz w:val="32"/>
          <w:szCs w:val="32"/>
        </w:rPr>
        <w:t>部门预算单位人员情况</w:t>
      </w:r>
    </w:p>
    <w:tbl>
      <w:tblPr>
        <w:tblStyle w:val="11"/>
        <w:tblW w:w="12475" w:type="dxa"/>
        <w:jc w:val="center"/>
        <w:tblInd w:w="1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868"/>
        <w:gridCol w:w="1143"/>
        <w:gridCol w:w="1142"/>
        <w:gridCol w:w="14"/>
        <w:gridCol w:w="1113"/>
        <w:gridCol w:w="1372"/>
        <w:gridCol w:w="1371"/>
        <w:gridCol w:w="1143"/>
        <w:gridCol w:w="1157"/>
        <w:gridCol w:w="1143"/>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gridAfter w:val="1"/>
          <w:wAfter w:w="9" w:type="dxa"/>
          <w:cantSplit/>
          <w:trHeight w:val="600" w:hRule="atLeast"/>
          <w:tblHeader/>
          <w:jc w:val="center"/>
        </w:trPr>
        <w:tc>
          <w:tcPr>
            <w:tcW w:w="2868" w:type="dxa"/>
            <w:vMerge w:val="restart"/>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单  位  名  称</w:t>
            </w:r>
          </w:p>
        </w:tc>
        <w:tc>
          <w:tcPr>
            <w:tcW w:w="2285" w:type="dxa"/>
            <w:gridSpan w:val="2"/>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编 制 人 数（人）</w:t>
            </w:r>
          </w:p>
        </w:tc>
        <w:tc>
          <w:tcPr>
            <w:tcW w:w="2499" w:type="dxa"/>
            <w:gridSpan w:val="3"/>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在　职 人 数（人）</w:t>
            </w:r>
          </w:p>
        </w:tc>
        <w:tc>
          <w:tcPr>
            <w:tcW w:w="1371" w:type="dxa"/>
            <w:vMerge w:val="restart"/>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非在职人数（人）</w:t>
            </w:r>
          </w:p>
        </w:tc>
        <w:tc>
          <w:tcPr>
            <w:tcW w:w="3443" w:type="dxa"/>
            <w:gridSpan w:val="3"/>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离退人数（人）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gridAfter w:val="1"/>
          <w:wAfter w:w="9" w:type="dxa"/>
          <w:cantSplit/>
          <w:trHeight w:val="616" w:hRule="atLeast"/>
          <w:tblHeader/>
          <w:jc w:val="center"/>
        </w:trPr>
        <w:tc>
          <w:tcPr>
            <w:tcW w:w="2868" w:type="dxa"/>
            <w:vMerge w:val="continue"/>
            <w:noWrap/>
            <w:vAlign w:val="center"/>
          </w:tcPr>
          <w:p>
            <w:pPr>
              <w:autoSpaceDE w:val="0"/>
              <w:autoSpaceDN w:val="0"/>
              <w:adjustRightInd w:val="0"/>
              <w:ind w:firstLine="675"/>
              <w:jc w:val="center"/>
              <w:rPr>
                <w:rFonts w:ascii="仿宋" w:hAnsi="仿宋" w:eastAsia="仿宋" w:cs="仿宋"/>
                <w:b/>
                <w:color w:val="000000" w:themeColor="text1"/>
                <w:sz w:val="24"/>
                <w:szCs w:val="24"/>
              </w:rPr>
            </w:pPr>
          </w:p>
        </w:tc>
        <w:tc>
          <w:tcPr>
            <w:tcW w:w="1143" w:type="dxa"/>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行 政</w:t>
            </w:r>
          </w:p>
        </w:tc>
        <w:tc>
          <w:tcPr>
            <w:tcW w:w="1142" w:type="dxa"/>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事业</w:t>
            </w:r>
          </w:p>
        </w:tc>
        <w:tc>
          <w:tcPr>
            <w:tcW w:w="1127" w:type="dxa"/>
            <w:gridSpan w:val="2"/>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行政</w:t>
            </w:r>
          </w:p>
        </w:tc>
        <w:tc>
          <w:tcPr>
            <w:tcW w:w="1372" w:type="dxa"/>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事 业</w:t>
            </w:r>
          </w:p>
        </w:tc>
        <w:tc>
          <w:tcPr>
            <w:tcW w:w="1371" w:type="dxa"/>
            <w:vMerge w:val="continue"/>
            <w:noWrap/>
            <w:vAlign w:val="center"/>
          </w:tcPr>
          <w:p>
            <w:pPr>
              <w:autoSpaceDE w:val="0"/>
              <w:autoSpaceDN w:val="0"/>
              <w:adjustRightInd w:val="0"/>
              <w:jc w:val="center"/>
              <w:rPr>
                <w:rFonts w:ascii="仿宋" w:hAnsi="仿宋" w:eastAsia="仿宋" w:cs="仿宋"/>
                <w:b/>
                <w:color w:val="000000" w:themeColor="text1"/>
                <w:sz w:val="24"/>
                <w:szCs w:val="24"/>
              </w:rPr>
            </w:pPr>
          </w:p>
        </w:tc>
        <w:tc>
          <w:tcPr>
            <w:tcW w:w="1143" w:type="dxa"/>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离休</w:t>
            </w:r>
          </w:p>
        </w:tc>
        <w:tc>
          <w:tcPr>
            <w:tcW w:w="1157" w:type="dxa"/>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退休</w:t>
            </w:r>
          </w:p>
        </w:tc>
        <w:tc>
          <w:tcPr>
            <w:tcW w:w="1143" w:type="dxa"/>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退职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2868" w:type="dxa"/>
            <w:tcBorders>
              <w:top w:val="nil"/>
              <w:bottom w:val="single" w:color="auto" w:sz="4" w:space="0"/>
            </w:tcBorders>
            <w:noWrap/>
            <w:vAlign w:val="center"/>
          </w:tcPr>
          <w:p>
            <w:pPr>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丰宁满族自治县扶贫和农业开发办公室</w:t>
            </w:r>
          </w:p>
        </w:tc>
        <w:tc>
          <w:tcPr>
            <w:tcW w:w="1143" w:type="dxa"/>
            <w:tcBorders>
              <w:bottom w:val="nil"/>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27</w:t>
            </w:r>
          </w:p>
        </w:tc>
        <w:tc>
          <w:tcPr>
            <w:tcW w:w="1156" w:type="dxa"/>
            <w:gridSpan w:val="2"/>
            <w:tcBorders>
              <w:top w:val="nil"/>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10</w:t>
            </w:r>
          </w:p>
        </w:tc>
        <w:tc>
          <w:tcPr>
            <w:tcW w:w="1113" w:type="dxa"/>
            <w:tcBorders>
              <w:top w:val="nil"/>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23</w:t>
            </w:r>
          </w:p>
        </w:tc>
        <w:tc>
          <w:tcPr>
            <w:tcW w:w="1372" w:type="dxa"/>
            <w:tcBorders>
              <w:top w:val="nil"/>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10</w:t>
            </w:r>
          </w:p>
        </w:tc>
        <w:tc>
          <w:tcPr>
            <w:tcW w:w="1371" w:type="dxa"/>
            <w:tcBorders>
              <w:top w:val="nil"/>
              <w:bottom w:val="single" w:color="auto" w:sz="4" w:space="0"/>
            </w:tcBorders>
            <w:noWrap/>
            <w:vAlign w:val="center"/>
          </w:tcPr>
          <w:p>
            <w:pPr>
              <w:widowControl/>
              <w:jc w:val="center"/>
              <w:rPr>
                <w:rFonts w:ascii="仿宋" w:hAnsi="仿宋" w:eastAsia="仿宋" w:cs="仿宋"/>
                <w:color w:val="000000" w:themeColor="text1"/>
                <w:sz w:val="24"/>
                <w:szCs w:val="24"/>
              </w:rPr>
            </w:pPr>
          </w:p>
        </w:tc>
        <w:tc>
          <w:tcPr>
            <w:tcW w:w="1143" w:type="dxa"/>
            <w:tcBorders>
              <w:top w:val="nil"/>
              <w:bottom w:val="single" w:color="auto" w:sz="4" w:space="0"/>
            </w:tcBorders>
            <w:noWrap/>
            <w:vAlign w:val="center"/>
          </w:tcPr>
          <w:p>
            <w:pPr>
              <w:widowControl/>
              <w:jc w:val="center"/>
              <w:rPr>
                <w:rFonts w:ascii="仿宋" w:hAnsi="仿宋" w:eastAsia="仿宋" w:cs="仿宋"/>
                <w:color w:val="000000" w:themeColor="text1"/>
                <w:sz w:val="24"/>
                <w:szCs w:val="24"/>
              </w:rPr>
            </w:pPr>
          </w:p>
        </w:tc>
        <w:tc>
          <w:tcPr>
            <w:tcW w:w="1157" w:type="dxa"/>
            <w:tcBorders>
              <w:top w:val="nil"/>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14</w:t>
            </w:r>
          </w:p>
        </w:tc>
        <w:tc>
          <w:tcPr>
            <w:tcW w:w="1152" w:type="dxa"/>
            <w:gridSpan w:val="2"/>
            <w:tcBorders>
              <w:top w:val="nil"/>
              <w:bottom w:val="single" w:color="auto" w:sz="4" w:space="0"/>
            </w:tcBorders>
            <w:noWrap/>
            <w:vAlign w:val="center"/>
          </w:tcPr>
          <w:p>
            <w:pPr>
              <w:widowControl/>
              <w:jc w:val="center"/>
              <w:rPr>
                <w:rFonts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2868" w:type="dxa"/>
            <w:tcBorders>
              <w:top w:val="single" w:color="auto" w:sz="4" w:space="0"/>
              <w:bottom w:val="single" w:color="auto" w:sz="4" w:space="0"/>
            </w:tcBorders>
            <w:noWrap/>
            <w:vAlign w:val="center"/>
          </w:tcPr>
          <w:p>
            <w:pPr>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合     计</w:t>
            </w:r>
          </w:p>
        </w:tc>
        <w:tc>
          <w:tcPr>
            <w:tcW w:w="1143" w:type="dxa"/>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27</w:t>
            </w:r>
          </w:p>
        </w:tc>
        <w:tc>
          <w:tcPr>
            <w:tcW w:w="1156" w:type="dxa"/>
            <w:gridSpan w:val="2"/>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10</w:t>
            </w:r>
          </w:p>
        </w:tc>
        <w:tc>
          <w:tcPr>
            <w:tcW w:w="1113" w:type="dxa"/>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23</w:t>
            </w:r>
          </w:p>
        </w:tc>
        <w:tc>
          <w:tcPr>
            <w:tcW w:w="1372" w:type="dxa"/>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10</w:t>
            </w:r>
          </w:p>
        </w:tc>
        <w:tc>
          <w:tcPr>
            <w:tcW w:w="1371" w:type="dxa"/>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p>
        </w:tc>
        <w:tc>
          <w:tcPr>
            <w:tcW w:w="1143" w:type="dxa"/>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p>
        </w:tc>
        <w:tc>
          <w:tcPr>
            <w:tcW w:w="1157" w:type="dxa"/>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14</w:t>
            </w:r>
          </w:p>
        </w:tc>
        <w:tc>
          <w:tcPr>
            <w:tcW w:w="1152" w:type="dxa"/>
            <w:gridSpan w:val="2"/>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p>
        </w:tc>
      </w:tr>
    </w:tbl>
    <w:p>
      <w:pPr>
        <w:autoSpaceDE w:val="0"/>
        <w:autoSpaceDN w:val="0"/>
        <w:adjustRightInd w:val="0"/>
        <w:ind w:firstLine="643" w:firstLineChars="200"/>
        <w:jc w:val="left"/>
        <w:rPr>
          <w:rFonts w:ascii="Times New Roman" w:hAnsi="Times New Roman" w:eastAsia="方正仿宋_GBK" w:cs="Times New Roman"/>
          <w:b/>
          <w:sz w:val="32"/>
          <w:szCs w:val="32"/>
        </w:rPr>
      </w:pPr>
      <w:r>
        <w:rPr>
          <w:rFonts w:hint="eastAsia" w:ascii="黑体" w:hAnsi="黑体" w:eastAsia="黑体" w:cs="Times New Roman"/>
          <w:b/>
          <w:sz w:val="32"/>
          <w:szCs w:val="32"/>
          <w:lang w:val="en-US" w:eastAsia="zh-CN"/>
        </w:rPr>
        <w:t>3、</w:t>
      </w:r>
      <w:r>
        <w:rPr>
          <w:rFonts w:hint="eastAsia" w:ascii="黑体" w:hAnsi="黑体" w:eastAsia="黑体" w:cs="Times New Roman"/>
          <w:b/>
          <w:sz w:val="32"/>
          <w:szCs w:val="32"/>
        </w:rPr>
        <w:t>部门预算单位构成</w:t>
      </w:r>
      <w:r>
        <w:rPr>
          <w:rFonts w:hint="eastAsia" w:ascii="Times New Roman" w:hAnsi="Times New Roman" w:eastAsia="方正仿宋_GBK" w:cs="Times New Roman"/>
          <w:b/>
          <w:sz w:val="32"/>
          <w:szCs w:val="32"/>
        </w:rPr>
        <w:t>：</w:t>
      </w:r>
    </w:p>
    <w:p>
      <w:pPr>
        <w:autoSpaceDE w:val="0"/>
        <w:autoSpaceDN w:val="0"/>
        <w:adjustRightInd w:val="0"/>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本单位无下设单位，本次公开的预算包含扶贫和农业开发办公室机关本级预算。</w:t>
      </w:r>
    </w:p>
    <w:p>
      <w:pPr>
        <w:ind w:firstLine="640"/>
        <w:rPr>
          <w:rFonts w:ascii="黑体" w:hAnsi="黑体" w:eastAsia="黑体" w:cs="Times New Roman"/>
          <w:b/>
          <w:sz w:val="32"/>
          <w:szCs w:val="32"/>
        </w:rPr>
      </w:pPr>
      <w:r>
        <w:rPr>
          <w:rFonts w:ascii="黑体" w:hAnsi="黑体" w:eastAsia="黑体" w:cs="Times New Roman"/>
          <w:b/>
          <w:sz w:val="32"/>
          <w:szCs w:val="32"/>
        </w:rPr>
        <w:t>二、部门预算安排的总体情况</w:t>
      </w:r>
    </w:p>
    <w:p>
      <w:pPr>
        <w:ind w:firstLine="640"/>
        <w:rPr>
          <w:rFonts w:ascii="仿宋" w:hAnsi="仿宋" w:eastAsia="仿宋" w:cs="Times New Roman"/>
          <w:sz w:val="32"/>
          <w:szCs w:val="32"/>
        </w:rPr>
      </w:pPr>
      <w:r>
        <w:rPr>
          <w:rFonts w:ascii="仿宋" w:hAnsi="仿宋" w:eastAsia="仿宋" w:cs="Times New Roman"/>
          <w:sz w:val="32"/>
          <w:szCs w:val="32"/>
        </w:rPr>
        <w:t>按照预算管理有关规定，目前我县部门预算的编制实行综合预算制度，即全部收入和支出都反映在预算中。丰宁县扶贫和农业开发办公室的收支包含在部门预算中。</w:t>
      </w:r>
    </w:p>
    <w:p>
      <w:pPr>
        <w:ind w:firstLine="640"/>
        <w:rPr>
          <w:rFonts w:ascii="黑体" w:hAnsi="黑体" w:eastAsia="黑体" w:cs="Times New Roman"/>
          <w:b/>
          <w:sz w:val="32"/>
          <w:szCs w:val="32"/>
        </w:rPr>
      </w:pPr>
      <w:r>
        <w:rPr>
          <w:rFonts w:ascii="黑体" w:hAnsi="黑体" w:eastAsia="黑体" w:cs="Times New Roman"/>
          <w:b/>
          <w:sz w:val="32"/>
          <w:szCs w:val="32"/>
        </w:rPr>
        <w:t>1、收入说明</w:t>
      </w:r>
    </w:p>
    <w:p>
      <w:pPr>
        <w:ind w:firstLine="640"/>
        <w:rPr>
          <w:rFonts w:ascii="仿宋" w:hAnsi="仿宋" w:eastAsia="仿宋" w:cs="Times New Roman"/>
          <w:sz w:val="32"/>
          <w:szCs w:val="32"/>
        </w:rPr>
      </w:pPr>
      <w:r>
        <w:rPr>
          <w:rFonts w:ascii="仿宋" w:hAnsi="仿宋" w:eastAsia="仿宋" w:cs="Times New Roman"/>
          <w:sz w:val="32"/>
          <w:szCs w:val="32"/>
        </w:rPr>
        <w:t>反映本部门当年全部收入。2019年预算收入23249.89万元，其中：一般公共预算收入23249.89万元，基金预算收入0.00万元，其他来源收入0.00万元。</w:t>
      </w:r>
    </w:p>
    <w:p>
      <w:pPr>
        <w:ind w:firstLine="640"/>
        <w:rPr>
          <w:rFonts w:ascii="黑体" w:hAnsi="黑体" w:eastAsia="黑体" w:cs="Times New Roman"/>
          <w:b/>
          <w:sz w:val="32"/>
          <w:szCs w:val="32"/>
        </w:rPr>
      </w:pPr>
      <w:r>
        <w:rPr>
          <w:rFonts w:ascii="黑体" w:hAnsi="黑体" w:eastAsia="黑体" w:cs="Times New Roman"/>
          <w:b/>
          <w:sz w:val="32"/>
          <w:szCs w:val="32"/>
        </w:rPr>
        <w:t>2、支出说明</w:t>
      </w:r>
    </w:p>
    <w:p>
      <w:pPr>
        <w:ind w:firstLine="640" w:firstLineChars="200"/>
        <w:rPr>
          <w:rFonts w:ascii="仿宋" w:hAnsi="仿宋" w:eastAsia="仿宋" w:cs="Times New Roman"/>
          <w:sz w:val="32"/>
          <w:szCs w:val="32"/>
        </w:rPr>
      </w:pPr>
      <w:r>
        <w:rPr>
          <w:rFonts w:ascii="仿宋" w:hAnsi="仿宋" w:eastAsia="仿宋" w:cs="Times New Roman"/>
          <w:sz w:val="32"/>
          <w:szCs w:val="32"/>
        </w:rPr>
        <w:t>收支预算总表支出栏、基本支出表、项目支出表按经济分类和支出功能分类科目编制，反映丰宁县扶贫和农业开发办公室年度部门预算中支出预算的总体情况。2019年支出预算23249.89万元，其中基本支出393万元，包括人员经费355.67万元和日常公用经费37.33万元；项目支出22856.89万元，其中：本级支出22856.89万元（</w:t>
      </w:r>
      <w:r>
        <w:rPr>
          <w:rFonts w:hint="eastAsia" w:ascii="仿宋" w:hAnsi="仿宋" w:eastAsia="仿宋" w:cs="Times New Roman"/>
          <w:sz w:val="32"/>
          <w:szCs w:val="32"/>
        </w:rPr>
        <w:t>一般公共服务支出126万元</w:t>
      </w:r>
      <w:r>
        <w:rPr>
          <w:rFonts w:ascii="仿宋" w:hAnsi="仿宋" w:eastAsia="仿宋" w:cs="Times New Roman"/>
          <w:sz w:val="32"/>
          <w:szCs w:val="32"/>
        </w:rPr>
        <w:t>，行政运行支出11.89万元，</w:t>
      </w:r>
      <w:r>
        <w:rPr>
          <w:rFonts w:hint="eastAsia" w:ascii="仿宋" w:hAnsi="仿宋" w:eastAsia="仿宋" w:cs="Times New Roman"/>
          <w:sz w:val="32"/>
          <w:szCs w:val="32"/>
        </w:rPr>
        <w:t>一般行政管理事务</w:t>
      </w:r>
      <w:r>
        <w:rPr>
          <w:rFonts w:ascii="仿宋" w:hAnsi="仿宋" w:eastAsia="仿宋" w:cs="Times New Roman"/>
          <w:sz w:val="32"/>
          <w:szCs w:val="32"/>
        </w:rPr>
        <w:t>支出200万元，其他扶贫支出22519万元），对下补助0.00万元。</w:t>
      </w:r>
    </w:p>
    <w:p>
      <w:pPr>
        <w:ind w:firstLine="640"/>
        <w:rPr>
          <w:rFonts w:ascii="黑体" w:hAnsi="黑体" w:eastAsia="黑体" w:cs="Times New Roman"/>
          <w:b/>
          <w:sz w:val="32"/>
          <w:szCs w:val="32"/>
        </w:rPr>
      </w:pPr>
      <w:r>
        <w:rPr>
          <w:rFonts w:ascii="黑体" w:hAnsi="黑体" w:eastAsia="黑体" w:cs="Times New Roman"/>
          <w:b/>
          <w:sz w:val="32"/>
          <w:szCs w:val="32"/>
        </w:rPr>
        <w:t>3、比上年增减情况</w:t>
      </w:r>
    </w:p>
    <w:p>
      <w:pPr>
        <w:ind w:firstLine="640"/>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201</w:t>
      </w:r>
      <w:r>
        <w:rPr>
          <w:rFonts w:hint="eastAsia" w:ascii="仿宋" w:hAnsi="仿宋" w:eastAsia="仿宋" w:cs="Times New Roman"/>
          <w:color w:val="000000" w:themeColor="text1"/>
          <w:sz w:val="32"/>
          <w:szCs w:val="32"/>
        </w:rPr>
        <w:t>9</w:t>
      </w:r>
      <w:r>
        <w:rPr>
          <w:rFonts w:ascii="仿宋" w:hAnsi="仿宋" w:eastAsia="仿宋" w:cs="Times New Roman"/>
          <w:color w:val="000000" w:themeColor="text1"/>
          <w:sz w:val="32"/>
          <w:szCs w:val="32"/>
        </w:rPr>
        <w:t>年预算收支安排</w:t>
      </w:r>
      <w:r>
        <w:rPr>
          <w:rFonts w:hint="eastAsia" w:ascii="仿宋" w:hAnsi="仿宋" w:eastAsia="仿宋" w:cs="Times New Roman"/>
          <w:color w:val="000000" w:themeColor="text1"/>
          <w:sz w:val="32"/>
          <w:szCs w:val="32"/>
        </w:rPr>
        <w:t>23249.89</w:t>
      </w:r>
      <w:r>
        <w:rPr>
          <w:rFonts w:ascii="仿宋" w:hAnsi="仿宋" w:eastAsia="仿宋" w:cs="Times New Roman"/>
          <w:color w:val="000000" w:themeColor="text1"/>
          <w:sz w:val="32"/>
          <w:szCs w:val="32"/>
        </w:rPr>
        <w:t>万元，较201</w:t>
      </w:r>
      <w:r>
        <w:rPr>
          <w:rFonts w:hint="eastAsia" w:ascii="仿宋" w:hAnsi="仿宋" w:eastAsia="仿宋" w:cs="Times New Roman"/>
          <w:color w:val="000000" w:themeColor="text1"/>
          <w:sz w:val="32"/>
          <w:szCs w:val="32"/>
        </w:rPr>
        <w:t>8</w:t>
      </w:r>
      <w:r>
        <w:rPr>
          <w:rFonts w:ascii="仿宋" w:hAnsi="仿宋" w:eastAsia="仿宋" w:cs="Times New Roman"/>
          <w:color w:val="000000" w:themeColor="text1"/>
          <w:sz w:val="32"/>
          <w:szCs w:val="32"/>
        </w:rPr>
        <w:t>年预算</w:t>
      </w:r>
      <w:r>
        <w:rPr>
          <w:rFonts w:hint="eastAsia" w:ascii="仿宋" w:hAnsi="仿宋" w:eastAsia="仿宋" w:cs="Times New Roman"/>
          <w:color w:val="000000" w:themeColor="text1"/>
          <w:sz w:val="32"/>
          <w:szCs w:val="32"/>
        </w:rPr>
        <w:t>减少425.48</w:t>
      </w:r>
      <w:r>
        <w:rPr>
          <w:rFonts w:ascii="仿宋" w:hAnsi="仿宋" w:eastAsia="仿宋" w:cs="Times New Roman"/>
          <w:color w:val="000000" w:themeColor="text1"/>
          <w:sz w:val="32"/>
          <w:szCs w:val="32"/>
        </w:rPr>
        <w:t>万元，其中：基本支出增加17.63万元，主要为增加人员经费支出；项目支出较2018年实际安排</w:t>
      </w:r>
      <w:r>
        <w:rPr>
          <w:rFonts w:hint="eastAsia" w:ascii="仿宋" w:hAnsi="仿宋" w:eastAsia="仿宋" w:cs="Times New Roman"/>
          <w:color w:val="000000" w:themeColor="text1"/>
          <w:sz w:val="32"/>
          <w:szCs w:val="32"/>
        </w:rPr>
        <w:t>减少443.11</w:t>
      </w:r>
      <w:r>
        <w:rPr>
          <w:rFonts w:ascii="仿宋" w:hAnsi="仿宋" w:eastAsia="仿宋" w:cs="Times New Roman"/>
          <w:color w:val="000000" w:themeColor="text1"/>
          <w:sz w:val="32"/>
          <w:szCs w:val="32"/>
        </w:rPr>
        <w:t>万元，主要用于</w:t>
      </w:r>
      <w:r>
        <w:rPr>
          <w:rFonts w:hint="eastAsia" w:ascii="仿宋" w:hAnsi="仿宋" w:eastAsia="仿宋" w:cs="Times New Roman"/>
          <w:color w:val="000000" w:themeColor="text1"/>
          <w:sz w:val="32"/>
          <w:szCs w:val="32"/>
        </w:rPr>
        <w:t>减少</w:t>
      </w:r>
      <w:r>
        <w:rPr>
          <w:rFonts w:ascii="仿宋" w:hAnsi="仿宋" w:eastAsia="仿宋" w:cs="Times New Roman"/>
          <w:color w:val="000000" w:themeColor="text1"/>
          <w:sz w:val="32"/>
          <w:szCs w:val="32"/>
        </w:rPr>
        <w:t>项目资金投入。</w:t>
      </w:r>
    </w:p>
    <w:p>
      <w:pPr>
        <w:autoSpaceDE w:val="0"/>
        <w:autoSpaceDN w:val="0"/>
        <w:adjustRightInd w:val="0"/>
        <w:ind w:firstLine="643" w:firstLineChars="200"/>
        <w:jc w:val="left"/>
        <w:rPr>
          <w:rFonts w:ascii="Times New Roman" w:hAnsi="Times New Roman" w:eastAsia="黑体" w:cs="Times New Roman"/>
          <w:b/>
          <w:sz w:val="32"/>
          <w:szCs w:val="32"/>
        </w:rPr>
      </w:pPr>
      <w:r>
        <w:rPr>
          <w:rFonts w:ascii="Times New Roman" w:hAnsi="Times New Roman" w:eastAsia="黑体" w:cs="Times New Roman"/>
          <w:b/>
          <w:sz w:val="32"/>
          <w:szCs w:val="32"/>
        </w:rPr>
        <w:t>三、机关运行经费安排情况</w:t>
      </w:r>
    </w:p>
    <w:p>
      <w:pPr>
        <w:tabs>
          <w:tab w:val="left" w:pos="11490"/>
        </w:tabs>
        <w:ind w:firstLine="640" w:firstLineChars="200"/>
        <w:rPr>
          <w:rFonts w:ascii="仿宋" w:hAnsi="仿宋" w:eastAsia="仿宋" w:cs="Times New Roman"/>
          <w:sz w:val="32"/>
          <w:szCs w:val="32"/>
        </w:rPr>
      </w:pPr>
      <w:r>
        <w:rPr>
          <w:rFonts w:ascii="仿宋" w:hAnsi="仿宋" w:eastAsia="仿宋" w:cs="Times New Roman"/>
          <w:sz w:val="32"/>
          <w:szCs w:val="32"/>
        </w:rPr>
        <w:t>2019年，我单位机关运行经费共计安排</w:t>
      </w:r>
      <w:r>
        <w:rPr>
          <w:rFonts w:hint="eastAsia" w:ascii="仿宋" w:hAnsi="仿宋" w:eastAsia="仿宋" w:cs="Times New Roman"/>
          <w:sz w:val="32"/>
          <w:szCs w:val="32"/>
        </w:rPr>
        <w:t>37.33</w:t>
      </w:r>
      <w:r>
        <w:rPr>
          <w:rFonts w:ascii="仿宋" w:hAnsi="仿宋" w:eastAsia="仿宋" w:cs="Times New Roman"/>
          <w:sz w:val="32"/>
          <w:szCs w:val="32"/>
        </w:rPr>
        <w:t>万元，主要用于办公费</w:t>
      </w:r>
      <w:r>
        <w:rPr>
          <w:rFonts w:hint="eastAsia" w:ascii="仿宋" w:hAnsi="仿宋" w:eastAsia="仿宋" w:cs="Times New Roman"/>
          <w:sz w:val="32"/>
          <w:szCs w:val="32"/>
        </w:rPr>
        <w:t>1.78万元</w:t>
      </w:r>
      <w:r>
        <w:rPr>
          <w:rFonts w:ascii="仿宋" w:hAnsi="仿宋" w:eastAsia="仿宋" w:cs="Times New Roman"/>
          <w:sz w:val="32"/>
          <w:szCs w:val="32"/>
        </w:rPr>
        <w:t>、印刷费</w:t>
      </w:r>
      <w:r>
        <w:rPr>
          <w:rFonts w:hint="eastAsia" w:ascii="仿宋" w:hAnsi="仿宋" w:eastAsia="仿宋" w:cs="Times New Roman"/>
          <w:sz w:val="32"/>
          <w:szCs w:val="32"/>
        </w:rPr>
        <w:t>0.5万元</w:t>
      </w:r>
      <w:r>
        <w:rPr>
          <w:rFonts w:ascii="仿宋" w:hAnsi="仿宋" w:eastAsia="仿宋" w:cs="Times New Roman"/>
          <w:sz w:val="32"/>
          <w:szCs w:val="32"/>
        </w:rPr>
        <w:t>、电费</w:t>
      </w:r>
      <w:r>
        <w:rPr>
          <w:rFonts w:hint="eastAsia" w:ascii="仿宋" w:hAnsi="仿宋" w:eastAsia="仿宋" w:cs="Times New Roman"/>
          <w:sz w:val="32"/>
          <w:szCs w:val="32"/>
        </w:rPr>
        <w:t>1万元</w:t>
      </w:r>
      <w:r>
        <w:rPr>
          <w:rFonts w:ascii="仿宋" w:hAnsi="仿宋" w:eastAsia="仿宋" w:cs="Times New Roman"/>
          <w:sz w:val="32"/>
          <w:szCs w:val="32"/>
        </w:rPr>
        <w:t>、</w:t>
      </w:r>
      <w:r>
        <w:rPr>
          <w:rFonts w:hint="eastAsia" w:ascii="仿宋" w:hAnsi="仿宋" w:eastAsia="仿宋" w:cs="Times New Roman"/>
          <w:sz w:val="32"/>
          <w:szCs w:val="32"/>
        </w:rPr>
        <w:t>邮电费10.02万元、取暖费1万元、</w:t>
      </w:r>
      <w:r>
        <w:rPr>
          <w:rFonts w:ascii="仿宋" w:hAnsi="仿宋" w:eastAsia="仿宋" w:cs="Times New Roman"/>
          <w:sz w:val="32"/>
          <w:szCs w:val="32"/>
        </w:rPr>
        <w:t>差旅费</w:t>
      </w:r>
      <w:r>
        <w:rPr>
          <w:rFonts w:hint="eastAsia" w:ascii="仿宋" w:hAnsi="仿宋" w:eastAsia="仿宋" w:cs="Times New Roman"/>
          <w:sz w:val="32"/>
          <w:szCs w:val="32"/>
        </w:rPr>
        <w:t>1.5万元</w:t>
      </w:r>
      <w:r>
        <w:rPr>
          <w:rFonts w:ascii="仿宋" w:hAnsi="仿宋" w:eastAsia="仿宋" w:cs="Times New Roman"/>
          <w:sz w:val="32"/>
          <w:szCs w:val="32"/>
        </w:rPr>
        <w:t>、</w:t>
      </w:r>
      <w:r>
        <w:rPr>
          <w:rFonts w:hint="eastAsia" w:ascii="仿宋" w:hAnsi="仿宋" w:eastAsia="仿宋" w:cs="Times New Roman"/>
          <w:sz w:val="32"/>
          <w:szCs w:val="32"/>
        </w:rPr>
        <w:t>公务接待费0.22万元、</w:t>
      </w:r>
      <w:r>
        <w:rPr>
          <w:rFonts w:ascii="仿宋" w:hAnsi="仿宋" w:eastAsia="仿宋" w:cs="Times New Roman"/>
          <w:sz w:val="32"/>
          <w:szCs w:val="32"/>
        </w:rPr>
        <w:t>工会经费</w:t>
      </w:r>
      <w:r>
        <w:rPr>
          <w:rFonts w:hint="eastAsia" w:ascii="仿宋" w:hAnsi="仿宋" w:eastAsia="仿宋" w:cs="Times New Roman"/>
          <w:sz w:val="32"/>
          <w:szCs w:val="32"/>
        </w:rPr>
        <w:t>2.53万元</w:t>
      </w:r>
      <w:r>
        <w:rPr>
          <w:rFonts w:ascii="仿宋" w:hAnsi="仿宋" w:eastAsia="仿宋" w:cs="Times New Roman"/>
          <w:sz w:val="32"/>
          <w:szCs w:val="32"/>
        </w:rPr>
        <w:t>、福利费</w:t>
      </w:r>
      <w:r>
        <w:rPr>
          <w:rFonts w:hint="eastAsia" w:ascii="仿宋" w:hAnsi="仿宋" w:eastAsia="仿宋" w:cs="Times New Roman"/>
          <w:sz w:val="32"/>
          <w:szCs w:val="32"/>
        </w:rPr>
        <w:t>2.92万元</w:t>
      </w:r>
      <w:r>
        <w:rPr>
          <w:rFonts w:ascii="仿宋" w:hAnsi="仿宋" w:eastAsia="仿宋" w:cs="Times New Roman"/>
          <w:sz w:val="32"/>
          <w:szCs w:val="32"/>
        </w:rPr>
        <w:t>、公务用车运行维护费</w:t>
      </w:r>
      <w:r>
        <w:rPr>
          <w:rFonts w:hint="eastAsia" w:ascii="仿宋" w:hAnsi="仿宋" w:eastAsia="仿宋" w:cs="Times New Roman"/>
          <w:sz w:val="32"/>
          <w:szCs w:val="32"/>
        </w:rPr>
        <w:t>0.8万元、其他交通费用14.22万元、</w:t>
      </w:r>
      <w:r>
        <w:rPr>
          <w:rFonts w:ascii="仿宋" w:hAnsi="仿宋" w:eastAsia="仿宋" w:cs="Times New Roman"/>
          <w:sz w:val="32"/>
          <w:szCs w:val="32"/>
        </w:rPr>
        <w:t>其他</w:t>
      </w:r>
      <w:r>
        <w:rPr>
          <w:rFonts w:hint="eastAsia" w:ascii="仿宋" w:hAnsi="仿宋" w:eastAsia="仿宋" w:cs="Times New Roman"/>
          <w:sz w:val="32"/>
          <w:szCs w:val="32"/>
        </w:rPr>
        <w:t>商品和服务支出0.84万元</w:t>
      </w:r>
      <w:r>
        <w:rPr>
          <w:rFonts w:ascii="仿宋" w:hAnsi="仿宋" w:eastAsia="仿宋" w:cs="Times New Roman"/>
          <w:sz w:val="32"/>
          <w:szCs w:val="32"/>
        </w:rPr>
        <w:t>。</w:t>
      </w:r>
    </w:p>
    <w:p>
      <w:pPr>
        <w:autoSpaceDE w:val="0"/>
        <w:autoSpaceDN w:val="0"/>
        <w:adjustRightInd w:val="0"/>
        <w:ind w:firstLine="643" w:firstLineChars="200"/>
        <w:jc w:val="left"/>
        <w:rPr>
          <w:rFonts w:ascii="黑体" w:hAnsi="黑体" w:eastAsia="黑体" w:cs="Times New Roman"/>
          <w:b/>
          <w:sz w:val="32"/>
          <w:szCs w:val="32"/>
        </w:rPr>
      </w:pPr>
      <w:r>
        <w:rPr>
          <w:rFonts w:ascii="黑体" w:hAnsi="黑体" w:eastAsia="黑体" w:cs="Times New Roman"/>
          <w:b/>
          <w:sz w:val="32"/>
          <w:szCs w:val="32"/>
        </w:rPr>
        <w:t>四、财政拨款“三公”经费预算情况及增减变化原因</w:t>
      </w:r>
    </w:p>
    <w:p>
      <w:pPr>
        <w:autoSpaceDE w:val="0"/>
        <w:autoSpaceDN w:val="0"/>
        <w:adjustRightInd w:val="0"/>
        <w:ind w:firstLine="640" w:firstLineChars="200"/>
        <w:jc w:val="left"/>
        <w:rPr>
          <w:rFonts w:ascii="仿宋" w:hAnsi="仿宋" w:eastAsia="仿宋" w:cs="Times New Roman"/>
          <w:sz w:val="32"/>
          <w:szCs w:val="32"/>
        </w:rPr>
      </w:pPr>
      <w:r>
        <w:rPr>
          <w:rFonts w:ascii="仿宋" w:hAnsi="仿宋" w:eastAsia="仿宋" w:cs="Times New Roman"/>
          <w:sz w:val="32"/>
          <w:szCs w:val="32"/>
        </w:rPr>
        <w:t>201</w:t>
      </w:r>
      <w:r>
        <w:rPr>
          <w:rFonts w:hint="eastAsia" w:ascii="仿宋" w:hAnsi="仿宋" w:eastAsia="仿宋" w:cs="Times New Roman"/>
          <w:sz w:val="32"/>
          <w:szCs w:val="32"/>
        </w:rPr>
        <w:t>9</w:t>
      </w:r>
      <w:r>
        <w:rPr>
          <w:rFonts w:ascii="仿宋" w:hAnsi="仿宋" w:eastAsia="仿宋" w:cs="Times New Roman"/>
          <w:sz w:val="32"/>
          <w:szCs w:val="32"/>
        </w:rPr>
        <w:t>年，我办财政拨款“三公”经费预算安排1.02万元，与201</w:t>
      </w:r>
      <w:r>
        <w:rPr>
          <w:rFonts w:hint="eastAsia" w:ascii="仿宋" w:hAnsi="仿宋" w:eastAsia="仿宋" w:cs="Times New Roman"/>
          <w:sz w:val="32"/>
          <w:szCs w:val="32"/>
        </w:rPr>
        <w:t>8</w:t>
      </w:r>
      <w:r>
        <w:rPr>
          <w:rFonts w:ascii="仿宋" w:hAnsi="仿宋" w:eastAsia="仿宋" w:cs="Times New Roman"/>
          <w:sz w:val="32"/>
          <w:szCs w:val="32"/>
        </w:rPr>
        <w:t>年</w:t>
      </w:r>
      <w:r>
        <w:rPr>
          <w:rFonts w:hint="eastAsia" w:ascii="仿宋" w:hAnsi="仿宋" w:eastAsia="仿宋" w:cs="Times New Roman"/>
          <w:sz w:val="32"/>
          <w:szCs w:val="32"/>
        </w:rPr>
        <w:t>相比无增减变化</w:t>
      </w:r>
      <w:r>
        <w:rPr>
          <w:rFonts w:ascii="仿宋" w:hAnsi="仿宋" w:eastAsia="仿宋" w:cs="Times New Roman"/>
          <w:sz w:val="32"/>
          <w:szCs w:val="32"/>
        </w:rPr>
        <w:t>。</w:t>
      </w:r>
    </w:p>
    <w:p>
      <w:pPr>
        <w:autoSpaceDE w:val="0"/>
        <w:autoSpaceDN w:val="0"/>
        <w:adjustRightInd w:val="0"/>
        <w:ind w:firstLine="643" w:firstLineChars="200"/>
        <w:jc w:val="left"/>
        <w:rPr>
          <w:rFonts w:ascii="仿宋" w:hAnsi="仿宋" w:eastAsia="仿宋" w:cs="Times New Roman"/>
          <w:b/>
          <w:bCs/>
          <w:sz w:val="32"/>
          <w:szCs w:val="32"/>
        </w:rPr>
      </w:pPr>
      <w:r>
        <w:rPr>
          <w:rFonts w:hint="eastAsia" w:ascii="仿宋" w:hAnsi="仿宋" w:eastAsia="仿宋" w:cs="Times New Roman"/>
          <w:b/>
          <w:bCs/>
          <w:sz w:val="32"/>
          <w:szCs w:val="32"/>
        </w:rPr>
        <w:t>具体支出情况如下：</w:t>
      </w:r>
    </w:p>
    <w:p>
      <w:pPr>
        <w:pStyle w:val="18"/>
        <w:numPr>
          <w:ilvl w:val="0"/>
          <w:numId w:val="1"/>
        </w:numPr>
        <w:autoSpaceDE w:val="0"/>
        <w:autoSpaceDN w:val="0"/>
        <w:adjustRightInd w:val="0"/>
        <w:ind w:firstLineChars="0"/>
        <w:jc w:val="left"/>
        <w:rPr>
          <w:rFonts w:ascii="仿宋" w:hAnsi="仿宋" w:eastAsia="仿宋" w:cs="Times New Roman"/>
          <w:sz w:val="32"/>
          <w:szCs w:val="32"/>
        </w:rPr>
      </w:pPr>
      <w:r>
        <w:rPr>
          <w:rFonts w:ascii="仿宋" w:hAnsi="仿宋" w:eastAsia="仿宋" w:cs="Times New Roman"/>
          <w:sz w:val="32"/>
          <w:szCs w:val="32"/>
        </w:rPr>
        <w:t>其中因公出国（境）费0.00万元</w:t>
      </w:r>
      <w:r>
        <w:rPr>
          <w:rFonts w:hint="eastAsia" w:ascii="仿宋" w:hAnsi="仿宋" w:eastAsia="仿宋" w:cs="Times New Roman"/>
          <w:sz w:val="32"/>
          <w:szCs w:val="32"/>
        </w:rPr>
        <w:t>，</w:t>
      </w:r>
      <w:r>
        <w:rPr>
          <w:rFonts w:ascii="仿宋" w:hAnsi="仿宋" w:eastAsia="仿宋" w:cs="Times New Roman"/>
          <w:sz w:val="32"/>
          <w:szCs w:val="32"/>
        </w:rPr>
        <w:t>与201</w:t>
      </w:r>
      <w:r>
        <w:rPr>
          <w:rFonts w:hint="eastAsia" w:ascii="仿宋" w:hAnsi="仿宋" w:eastAsia="仿宋" w:cs="Times New Roman"/>
          <w:sz w:val="32"/>
          <w:szCs w:val="32"/>
        </w:rPr>
        <w:t>8</w:t>
      </w:r>
      <w:r>
        <w:rPr>
          <w:rFonts w:ascii="仿宋" w:hAnsi="仿宋" w:eastAsia="仿宋" w:cs="Times New Roman"/>
          <w:sz w:val="32"/>
          <w:szCs w:val="32"/>
        </w:rPr>
        <w:t>年</w:t>
      </w:r>
      <w:r>
        <w:rPr>
          <w:rFonts w:hint="eastAsia" w:ascii="仿宋" w:hAnsi="仿宋" w:eastAsia="仿宋" w:cs="Times New Roman"/>
          <w:sz w:val="32"/>
          <w:szCs w:val="32"/>
        </w:rPr>
        <w:t>相比无增减变化。</w:t>
      </w:r>
    </w:p>
    <w:p>
      <w:pPr>
        <w:pStyle w:val="18"/>
        <w:numPr>
          <w:ilvl w:val="0"/>
          <w:numId w:val="1"/>
        </w:numPr>
        <w:autoSpaceDE w:val="0"/>
        <w:autoSpaceDN w:val="0"/>
        <w:adjustRightInd w:val="0"/>
        <w:ind w:firstLineChars="0"/>
        <w:jc w:val="left"/>
        <w:rPr>
          <w:rFonts w:ascii="仿宋" w:hAnsi="仿宋" w:eastAsia="仿宋" w:cs="Times New Roman"/>
          <w:sz w:val="32"/>
          <w:szCs w:val="32"/>
        </w:rPr>
      </w:pPr>
      <w:r>
        <w:rPr>
          <w:rFonts w:ascii="仿宋" w:hAnsi="仿宋" w:eastAsia="仿宋" w:cs="Times New Roman"/>
          <w:sz w:val="32"/>
          <w:szCs w:val="32"/>
        </w:rPr>
        <w:t>公务用车购置及运维费0.8万元</w:t>
      </w:r>
      <w:r>
        <w:rPr>
          <w:rFonts w:hint="eastAsia" w:ascii="仿宋" w:hAnsi="仿宋" w:eastAsia="仿宋" w:cs="Times New Roman"/>
          <w:sz w:val="32"/>
          <w:szCs w:val="32"/>
        </w:rPr>
        <w:t>，</w:t>
      </w:r>
      <w:r>
        <w:rPr>
          <w:rFonts w:ascii="仿宋" w:hAnsi="仿宋" w:eastAsia="仿宋" w:cs="Times New Roman"/>
          <w:sz w:val="32"/>
          <w:szCs w:val="32"/>
        </w:rPr>
        <w:t>与201</w:t>
      </w:r>
      <w:r>
        <w:rPr>
          <w:rFonts w:hint="eastAsia" w:ascii="仿宋" w:hAnsi="仿宋" w:eastAsia="仿宋" w:cs="Times New Roman"/>
          <w:sz w:val="32"/>
          <w:szCs w:val="32"/>
        </w:rPr>
        <w:t>8</w:t>
      </w:r>
      <w:r>
        <w:rPr>
          <w:rFonts w:ascii="仿宋" w:hAnsi="仿宋" w:eastAsia="仿宋" w:cs="Times New Roman"/>
          <w:sz w:val="32"/>
          <w:szCs w:val="32"/>
        </w:rPr>
        <w:t>年</w:t>
      </w:r>
      <w:r>
        <w:rPr>
          <w:rFonts w:hint="eastAsia" w:ascii="仿宋" w:hAnsi="仿宋" w:eastAsia="仿宋" w:cs="Times New Roman"/>
          <w:sz w:val="32"/>
          <w:szCs w:val="32"/>
        </w:rPr>
        <w:t>相比无增减变化。</w:t>
      </w:r>
    </w:p>
    <w:p>
      <w:pPr>
        <w:pStyle w:val="18"/>
        <w:numPr>
          <w:ilvl w:val="0"/>
          <w:numId w:val="2"/>
        </w:numPr>
        <w:autoSpaceDE w:val="0"/>
        <w:autoSpaceDN w:val="0"/>
        <w:adjustRightInd w:val="0"/>
        <w:ind w:left="640" w:leftChars="0" w:firstLine="640" w:firstLineChars="200"/>
        <w:jc w:val="left"/>
        <w:rPr>
          <w:rFonts w:ascii="仿宋" w:hAnsi="仿宋" w:eastAsia="仿宋" w:cs="Times New Roman"/>
          <w:sz w:val="32"/>
          <w:szCs w:val="32"/>
        </w:rPr>
      </w:pPr>
      <w:r>
        <w:rPr>
          <w:rFonts w:ascii="仿宋" w:hAnsi="仿宋" w:eastAsia="仿宋" w:cs="Times New Roman"/>
          <w:sz w:val="32"/>
          <w:szCs w:val="32"/>
        </w:rPr>
        <w:t>公务用车购置费为0.00万元</w:t>
      </w:r>
      <w:r>
        <w:rPr>
          <w:rFonts w:hint="eastAsia" w:ascii="仿宋" w:hAnsi="仿宋" w:eastAsia="仿宋" w:cs="Times New Roman"/>
          <w:sz w:val="32"/>
          <w:szCs w:val="32"/>
        </w:rPr>
        <w:t>，</w:t>
      </w:r>
      <w:r>
        <w:rPr>
          <w:rFonts w:ascii="仿宋" w:hAnsi="仿宋" w:eastAsia="仿宋" w:cs="Times New Roman"/>
          <w:sz w:val="32"/>
          <w:szCs w:val="32"/>
        </w:rPr>
        <w:t>与201</w:t>
      </w:r>
      <w:r>
        <w:rPr>
          <w:rFonts w:hint="eastAsia" w:ascii="仿宋" w:hAnsi="仿宋" w:eastAsia="仿宋" w:cs="Times New Roman"/>
          <w:sz w:val="32"/>
          <w:szCs w:val="32"/>
        </w:rPr>
        <w:t>8</w:t>
      </w:r>
      <w:r>
        <w:rPr>
          <w:rFonts w:ascii="仿宋" w:hAnsi="仿宋" w:eastAsia="仿宋" w:cs="Times New Roman"/>
          <w:sz w:val="32"/>
          <w:szCs w:val="32"/>
        </w:rPr>
        <w:t>年</w:t>
      </w:r>
      <w:r>
        <w:rPr>
          <w:rFonts w:hint="eastAsia" w:ascii="仿宋" w:hAnsi="仿宋" w:eastAsia="仿宋" w:cs="Times New Roman"/>
          <w:sz w:val="32"/>
          <w:szCs w:val="32"/>
        </w:rPr>
        <w:t>相比无增减变化。</w:t>
      </w:r>
    </w:p>
    <w:p>
      <w:pPr>
        <w:pStyle w:val="18"/>
        <w:numPr>
          <w:ilvl w:val="0"/>
          <w:numId w:val="2"/>
        </w:numPr>
        <w:autoSpaceDE w:val="0"/>
        <w:autoSpaceDN w:val="0"/>
        <w:adjustRightInd w:val="0"/>
        <w:ind w:left="640" w:leftChars="0" w:firstLine="640" w:firstLineChars="200"/>
        <w:jc w:val="left"/>
        <w:rPr>
          <w:rFonts w:ascii="仿宋" w:hAnsi="仿宋" w:eastAsia="仿宋" w:cs="Times New Roman"/>
          <w:sz w:val="32"/>
          <w:szCs w:val="32"/>
        </w:rPr>
      </w:pPr>
      <w:r>
        <w:rPr>
          <w:rFonts w:ascii="仿宋" w:hAnsi="仿宋" w:eastAsia="仿宋" w:cs="Times New Roman"/>
          <w:sz w:val="32"/>
          <w:szCs w:val="32"/>
        </w:rPr>
        <w:t>公务用车运维费0.8万元</w:t>
      </w:r>
      <w:r>
        <w:rPr>
          <w:rFonts w:hint="eastAsia" w:ascii="仿宋" w:hAnsi="仿宋" w:eastAsia="仿宋" w:cs="Times New Roman"/>
          <w:sz w:val="32"/>
          <w:szCs w:val="32"/>
          <w:lang w:eastAsia="zh-CN"/>
        </w:rPr>
        <w:t>，</w:t>
      </w:r>
      <w:r>
        <w:rPr>
          <w:rFonts w:ascii="仿宋" w:hAnsi="仿宋" w:eastAsia="仿宋" w:cs="Times New Roman"/>
          <w:sz w:val="32"/>
          <w:szCs w:val="32"/>
        </w:rPr>
        <w:t>与201</w:t>
      </w:r>
      <w:r>
        <w:rPr>
          <w:rFonts w:hint="eastAsia" w:ascii="仿宋" w:hAnsi="仿宋" w:eastAsia="仿宋" w:cs="Times New Roman"/>
          <w:sz w:val="32"/>
          <w:szCs w:val="32"/>
        </w:rPr>
        <w:t>8</w:t>
      </w:r>
      <w:r>
        <w:rPr>
          <w:rFonts w:ascii="仿宋" w:hAnsi="仿宋" w:eastAsia="仿宋" w:cs="Times New Roman"/>
          <w:sz w:val="32"/>
          <w:szCs w:val="32"/>
        </w:rPr>
        <w:t>年</w:t>
      </w:r>
      <w:r>
        <w:rPr>
          <w:rFonts w:hint="eastAsia" w:ascii="仿宋" w:hAnsi="仿宋" w:eastAsia="仿宋" w:cs="Times New Roman"/>
          <w:sz w:val="32"/>
          <w:szCs w:val="32"/>
        </w:rPr>
        <w:t>相比无增减变化。</w:t>
      </w:r>
    </w:p>
    <w:p>
      <w:pPr>
        <w:pStyle w:val="18"/>
        <w:numPr>
          <w:ilvl w:val="0"/>
          <w:numId w:val="1"/>
        </w:numPr>
        <w:autoSpaceDE w:val="0"/>
        <w:autoSpaceDN w:val="0"/>
        <w:adjustRightInd w:val="0"/>
        <w:ind w:firstLineChars="0"/>
        <w:jc w:val="left"/>
        <w:rPr>
          <w:rFonts w:ascii="仿宋" w:hAnsi="仿宋" w:eastAsia="仿宋" w:cs="Times New Roman"/>
          <w:sz w:val="32"/>
          <w:szCs w:val="32"/>
        </w:rPr>
      </w:pPr>
      <w:r>
        <w:rPr>
          <w:rFonts w:ascii="仿宋" w:hAnsi="仿宋" w:eastAsia="仿宋" w:cs="Times New Roman"/>
          <w:sz w:val="32"/>
          <w:szCs w:val="32"/>
        </w:rPr>
        <w:t>公务接待费0. 22万元</w:t>
      </w:r>
      <w:r>
        <w:rPr>
          <w:rFonts w:hint="eastAsia" w:ascii="仿宋" w:hAnsi="仿宋" w:eastAsia="仿宋" w:cs="Times New Roman"/>
          <w:sz w:val="32"/>
          <w:szCs w:val="32"/>
        </w:rPr>
        <w:t>，</w:t>
      </w:r>
      <w:r>
        <w:rPr>
          <w:rFonts w:ascii="仿宋" w:hAnsi="仿宋" w:eastAsia="仿宋" w:cs="Times New Roman"/>
          <w:sz w:val="32"/>
          <w:szCs w:val="32"/>
        </w:rPr>
        <w:t>与201</w:t>
      </w:r>
      <w:r>
        <w:rPr>
          <w:rFonts w:hint="eastAsia" w:ascii="仿宋" w:hAnsi="仿宋" w:eastAsia="仿宋" w:cs="Times New Roman"/>
          <w:sz w:val="32"/>
          <w:szCs w:val="32"/>
        </w:rPr>
        <w:t>8</w:t>
      </w:r>
      <w:r>
        <w:rPr>
          <w:rFonts w:ascii="仿宋" w:hAnsi="仿宋" w:eastAsia="仿宋" w:cs="Times New Roman"/>
          <w:sz w:val="32"/>
          <w:szCs w:val="32"/>
        </w:rPr>
        <w:t>年</w:t>
      </w:r>
      <w:r>
        <w:rPr>
          <w:rFonts w:hint="eastAsia" w:ascii="仿宋" w:hAnsi="仿宋" w:eastAsia="仿宋" w:cs="Times New Roman"/>
          <w:sz w:val="32"/>
          <w:szCs w:val="32"/>
        </w:rPr>
        <w:t>相比无增减变化</w:t>
      </w:r>
      <w:r>
        <w:rPr>
          <w:rFonts w:ascii="仿宋" w:hAnsi="仿宋" w:eastAsia="仿宋" w:cs="Times New Roman"/>
          <w:sz w:val="32"/>
          <w:szCs w:val="32"/>
        </w:rPr>
        <w:t>。</w:t>
      </w:r>
    </w:p>
    <w:p>
      <w:pPr>
        <w:ind w:firstLine="640"/>
        <w:rPr>
          <w:rFonts w:ascii="黑体" w:hAnsi="黑体" w:eastAsia="黑体" w:cs="Times New Roman"/>
          <w:b/>
          <w:sz w:val="32"/>
          <w:szCs w:val="32"/>
        </w:rPr>
      </w:pPr>
      <w:r>
        <w:rPr>
          <w:rFonts w:ascii="黑体" w:hAnsi="黑体" w:eastAsia="黑体" w:cs="Times New Roman"/>
          <w:b/>
          <w:sz w:val="32"/>
          <w:szCs w:val="32"/>
        </w:rPr>
        <w:t>五、绩效预算信息</w:t>
      </w:r>
    </w:p>
    <w:p>
      <w:pPr>
        <w:ind w:firstLine="643" w:firstLineChars="200"/>
        <w:jc w:val="left"/>
        <w:rPr>
          <w:rFonts w:ascii="黑体" w:hAnsi="黑体" w:eastAsia="黑体" w:cs="Times New Roman"/>
          <w:b/>
          <w:sz w:val="32"/>
          <w:szCs w:val="32"/>
        </w:rPr>
      </w:pPr>
      <w:bookmarkStart w:id="0" w:name="_Toc471398463"/>
      <w:r>
        <w:rPr>
          <w:rFonts w:hint="eastAsia" w:ascii="黑体" w:hAnsi="黑体" w:eastAsia="黑体" w:cs="Times New Roman"/>
          <w:b/>
          <w:sz w:val="32"/>
          <w:szCs w:val="32"/>
          <w:lang w:eastAsia="zh-CN"/>
        </w:rPr>
        <w:t>（一）</w:t>
      </w:r>
      <w:r>
        <w:rPr>
          <w:rFonts w:ascii="黑体" w:hAnsi="黑体" w:eastAsia="黑体" w:cs="Times New Roman"/>
          <w:b/>
          <w:sz w:val="32"/>
          <w:szCs w:val="32"/>
        </w:rPr>
        <w:t>总体绩效目标：</w:t>
      </w:r>
    </w:p>
    <w:p>
      <w:pPr>
        <w:spacing w:line="500" w:lineRule="exact"/>
        <w:ind w:firstLine="560"/>
        <w:rPr>
          <w:rFonts w:ascii="仿宋" w:hAnsi="仿宋" w:eastAsia="仿宋" w:cs="Times New Roman"/>
          <w:sz w:val="32"/>
          <w:szCs w:val="32"/>
        </w:rPr>
      </w:pPr>
      <w:r>
        <w:rPr>
          <w:rFonts w:hint="eastAsia" w:ascii="仿宋_GB2312" w:hAnsi="黑体" w:eastAsia="仿宋_GB2312"/>
          <w:sz w:val="32"/>
          <w:szCs w:val="32"/>
        </w:rPr>
        <w:t>2019年</w:t>
      </w:r>
      <w:r>
        <w:rPr>
          <w:rFonts w:hint="eastAsia" w:ascii="仿宋_GB2312" w:hAnsi="黑体" w:eastAsia="仿宋_GB2312" w:cs="Times New Roman"/>
          <w:sz w:val="32"/>
          <w:szCs w:val="32"/>
        </w:rPr>
        <w:t>我办将在县委、县政府的领导下，</w:t>
      </w:r>
      <w:r>
        <w:rPr>
          <w:rFonts w:hint="eastAsia" w:ascii="仿宋_GB2312" w:hAnsi="Calibri" w:eastAsia="仿宋_GB2312" w:cs="Times New Roman"/>
          <w:color w:val="000000"/>
          <w:sz w:val="32"/>
          <w:szCs w:val="32"/>
        </w:rPr>
        <w:t>按照党的十九大精神和中央、省市关于脱贫攻坚的部署要求，以坚决打赢脱贫攻坚战、脱贫不返贫为目标，扎实开展各项工作，确保1.4万贫困户稳定脱贫、99个贫困村整村出列、实现全县脱贫摘帽。</w:t>
      </w:r>
    </w:p>
    <w:p>
      <w:pPr>
        <w:ind w:firstLine="640" w:firstLineChars="200"/>
        <w:jc w:val="left"/>
        <w:rPr>
          <w:rFonts w:ascii="Times New Roman" w:hAnsi="Times New Roman" w:eastAsia="方正仿宋_GBK" w:cs="Times New Roman"/>
          <w:b/>
          <w:color w:val="000000" w:themeColor="text1"/>
          <w:sz w:val="32"/>
          <w:szCs w:val="32"/>
        </w:rPr>
      </w:pPr>
      <w:r>
        <w:rPr>
          <w:rFonts w:hint="eastAsia" w:ascii="Times New Roman" w:hAnsi="Times New Roman" w:eastAsia="方正仿宋_GBK" w:cs="Times New Roman"/>
          <w:b/>
          <w:color w:val="000000" w:themeColor="text1"/>
          <w:sz w:val="32"/>
          <w:szCs w:val="32"/>
          <w:lang w:eastAsia="zh-CN"/>
        </w:rPr>
        <w:t>（二）</w:t>
      </w:r>
      <w:r>
        <w:rPr>
          <w:rFonts w:ascii="Times New Roman" w:hAnsi="Times New Roman" w:eastAsia="方正仿宋_GBK" w:cs="Times New Roman"/>
          <w:b/>
          <w:color w:val="000000" w:themeColor="text1"/>
          <w:sz w:val="32"/>
          <w:szCs w:val="32"/>
        </w:rPr>
        <w:t>职责分类绩效目标：</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（一）精准脱贫建档立卡</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职责描述：建档立卡贫困人口精准脱贫通过建档立卡为精准扶贫和精准脱贫奠定基础。</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年度绩效目标：建档立卡贫困人口精准脱贫对纳入系统内建档立卡贫困人口实施动态管理，记录脱贫路径。2019年度完成1.</w:t>
      </w:r>
      <w:r>
        <w:rPr>
          <w:rFonts w:hint="eastAsia" w:ascii="仿宋" w:hAnsi="仿宋" w:eastAsia="仿宋" w:cs="Times New Roman"/>
          <w:sz w:val="32"/>
          <w:szCs w:val="32"/>
        </w:rPr>
        <w:t>4</w:t>
      </w:r>
      <w:r>
        <w:rPr>
          <w:rFonts w:ascii="仿宋" w:hAnsi="仿宋" w:eastAsia="仿宋" w:cs="Times New Roman"/>
          <w:sz w:val="32"/>
          <w:szCs w:val="32"/>
        </w:rPr>
        <w:t>万人脱贫任务，建立动态调整机制，确保不落一人。进行规范档案工作，力争避免错评、漏评现象，完善各级档案。</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（二）产业扶贫</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职责描述：加大投入财政扶贫资金，大力发展种植业、养殖业及光伏等主导产业。</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年度绩效目标：有机农业种植：发展蔬菜、食用菌、中草药等；发展肉驴、生猪、肉羊、肉牛等养殖业；发展农业龙头企业、农民专业合作社、家庭农场等农业生产经营主体发展项目。2019年种养殖业投资1000万元，村级光伏电站投资16000万元，覆盖建档立卡贫困户10000户。</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（三）社会扶贫</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职责描述：协调国家、省、市各级帮扶部门帮扶贫困村。</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年度绩效目标：充分发挥民建中央，46个个省直工作队、43个市直工作队、82个县直工作队对口帮扶部门作用，为扶贫开发注入强大动力。2019年度各帮扶单位利用自身优势，直接投入和协调引进帮扶资金1000万元。</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（四）扶贫培训</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职责描述：落实建档立卡家庭子女职业教育补贴，对建档立卡贫困户给予技能培训，对扶贫工作人员进行业务培训。及发放建档立卡家庭子女职业教育补贴；对建档立卡贫困户培训种植、养殖等生产技术；对扶贫系统工作人员进行政策、业务培训。</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年度绩效目标：2019年度计划培训建档立卡贫困人口600人次，雨露计划补贴全覆盖，计划培训工作人员4次以上。</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（五）政务管理</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职责描述：负责部门综合业务和综合事务管理。加强机关文件起草、信息宣传、公文收发、公章管理、机关档案管理、机关年度考核、党建、综治、工会、精神文明等工作。</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年度绩效目标：2019年度完成目标考核及机关日常工作，以及上级交办的临时接任务。</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（六）金融扶贫</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职责描述：做好担保中心和投融资平台建设、农户自立服务社的运行。提升金融支撑，做好担保中心和投融资平台建设、农户自立服务社的运行。</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年度绩效目标：2019年计划完成扶贫小额信贷发放3000万元，贫困户贷款贴息300万元。</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（七）农业土地治理</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职责描述：在全县实施农业综合开发土地治理项目,依据国家、省确定的项目配套比例，组织实施高标准农田、创新试点等项目，大力推进重点开发、效益开发，有效改善农业生产条件和生态环境，提高农业综合生产能力提高粮食产能，扶持农业龙头企业和新型经营主体，带动农业特色主导产业发展，促进农业增效、农民增收。落实农业综合开发土地治理项目管理办法、农业综合开发土地治理项目中长期规划和年度项目计划。</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年度绩效目标：2019争取财政投资3000万元，建设高标准农田1.8万亩，建设主要内容：机井及配套130眼，输配水管道9万米，架设变压器15台，地埋低压电缆3万米，喷灌设备130套，修水泥路5千米。</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（八）产业化项目建设</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职责描述：组织产业化项目前期考察，指导检查项目实施，组织项目验收。提高我县农业开发综合质量和农业生产能力,增加项目区农民收入。</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年度绩效目标：2019年度完成设施蔬菜、食用菌、养殖项目三个计划财政投资1200万元，带动建档立卡贫困户540户脱贫。</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（九）农业开发项目工程监督与评价</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职责描述：农业综合开发绩效评价工作,负责项目的监督和竣工验收。提高我县农业开发综合质量和农业生产能力,增加项目区农民收入。</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年度绩效目标：完成2018年度农业综合开发项目绩效评价、项目的监督和竣工验收工作，做好2019年度农业综合开发项目绩效评价、项目的监督和竣工验收等工作。</w:t>
      </w:r>
    </w:p>
    <w:p>
      <w:pPr>
        <w:ind w:firstLine="643" w:firstLineChars="200"/>
        <w:jc w:val="left"/>
        <w:rPr>
          <w:rFonts w:ascii="黑体" w:hAnsi="黑体" w:eastAsia="黑体" w:cs="Times New Roman"/>
          <w:b/>
          <w:sz w:val="32"/>
          <w:szCs w:val="24"/>
        </w:rPr>
      </w:pPr>
      <w:r>
        <w:rPr>
          <w:rFonts w:hint="eastAsia" w:ascii="黑体" w:hAnsi="黑体" w:eastAsia="黑体" w:cs="Times New Roman"/>
          <w:b/>
          <w:sz w:val="32"/>
          <w:szCs w:val="32"/>
          <w:lang w:eastAsia="zh-CN"/>
        </w:rPr>
        <w:t>（三）</w:t>
      </w:r>
      <w:r>
        <w:rPr>
          <w:rFonts w:ascii="黑体" w:hAnsi="黑体" w:eastAsia="黑体" w:cs="Times New Roman"/>
          <w:b/>
          <w:sz w:val="32"/>
          <w:szCs w:val="32"/>
        </w:rPr>
        <w:t>部门职责及工作活动绩效目标指标：</w:t>
      </w:r>
    </w:p>
    <w:bookmarkEnd w:id="0"/>
    <w:p>
      <w:pPr>
        <w:jc w:val="center"/>
        <w:outlineLvl w:val="0"/>
        <w:rPr>
          <w:rFonts w:ascii="仿宋" w:hAnsi="仿宋" w:eastAsia="仿宋"/>
          <w:color w:val="FFFFFF"/>
          <w:sz w:val="32"/>
          <w:szCs w:val="32"/>
        </w:rPr>
      </w:pPr>
      <w:bookmarkStart w:id="1" w:name="_Toc535479405"/>
      <w:r>
        <w:rPr>
          <w:rFonts w:hint="eastAsia" w:ascii="仿宋" w:hAnsi="仿宋" w:eastAsia="仿宋"/>
          <w:sz w:val="32"/>
          <w:szCs w:val="32"/>
        </w:rPr>
        <w:t>部门职责-工作活动绩效目标</w:t>
      </w:r>
      <w:r>
        <w:rPr>
          <w:rStyle w:val="10"/>
          <w:rFonts w:ascii="仿宋" w:hAnsi="仿宋" w:eastAsia="仿宋"/>
          <w:color w:val="FFFFFF"/>
          <w:sz w:val="32"/>
          <w:szCs w:val="32"/>
        </w:rPr>
        <w:footnoteReference w:id="0" w:customMarkFollows="1"/>
        <w:sym w:font="Symbol" w:char="F020"/>
      </w:r>
      <w:bookmarkEnd w:id="1"/>
    </w:p>
    <w:tbl>
      <w:tblPr>
        <w:tblStyle w:val="11"/>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52"/>
        <w:gridCol w:w="3000"/>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475</w:t>
            </w:r>
            <w:r>
              <w:rPr>
                <w:rFonts w:hint="eastAsia" w:ascii="仿宋" w:hAnsi="仿宋" w:eastAsia="仿宋"/>
                <w:sz w:val="24"/>
                <w:szCs w:val="24"/>
              </w:rPr>
              <w:t>丰宁满族自治县扶贫和农业开发办</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24"/>
                <w:szCs w:val="24"/>
              </w:rPr>
            </w:pPr>
            <w:r>
              <w:rPr>
                <w:rFonts w:hint="eastAsia" w:ascii="仿宋" w:hAnsi="仿宋" w:eastAsia="仿宋"/>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职责活动</w:t>
            </w:r>
          </w:p>
        </w:tc>
        <w:tc>
          <w:tcPr>
            <w:tcW w:w="1276" w:type="dxa"/>
            <w:vMerge w:val="restart"/>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年度预算数</w:t>
            </w:r>
          </w:p>
        </w:tc>
        <w:tc>
          <w:tcPr>
            <w:tcW w:w="2952" w:type="dxa"/>
            <w:vMerge w:val="restart"/>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内容描述</w:t>
            </w:r>
          </w:p>
        </w:tc>
        <w:tc>
          <w:tcPr>
            <w:tcW w:w="3000" w:type="dxa"/>
            <w:vMerge w:val="restart"/>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绩效目标</w:t>
            </w:r>
          </w:p>
        </w:tc>
        <w:tc>
          <w:tcPr>
            <w:tcW w:w="1417" w:type="dxa"/>
            <w:vMerge w:val="restart"/>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绩效指标</w:t>
            </w:r>
          </w:p>
        </w:tc>
        <w:tc>
          <w:tcPr>
            <w:tcW w:w="2948" w:type="dxa"/>
            <w:gridSpan w:val="4"/>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 w:hAnsi="仿宋" w:eastAsia="仿宋"/>
                <w:sz w:val="24"/>
                <w:szCs w:val="24"/>
              </w:rPr>
            </w:pPr>
          </w:p>
        </w:tc>
        <w:tc>
          <w:tcPr>
            <w:tcW w:w="1276" w:type="dxa"/>
            <w:vMerge w:val="continue"/>
            <w:shd w:val="clear" w:color="auto" w:fill="auto"/>
            <w:vAlign w:val="center"/>
          </w:tcPr>
          <w:p>
            <w:pPr>
              <w:spacing w:line="300" w:lineRule="exact"/>
              <w:jc w:val="left"/>
              <w:outlineLvl w:val="0"/>
              <w:rPr>
                <w:rFonts w:ascii="仿宋" w:hAnsi="仿宋" w:eastAsia="仿宋"/>
                <w:sz w:val="24"/>
                <w:szCs w:val="24"/>
              </w:rPr>
            </w:pPr>
          </w:p>
        </w:tc>
        <w:tc>
          <w:tcPr>
            <w:tcW w:w="2952" w:type="dxa"/>
            <w:vMerge w:val="continue"/>
            <w:shd w:val="clear" w:color="auto" w:fill="auto"/>
            <w:vAlign w:val="center"/>
          </w:tcPr>
          <w:p>
            <w:pPr>
              <w:spacing w:line="300" w:lineRule="exact"/>
              <w:jc w:val="left"/>
              <w:outlineLvl w:val="0"/>
              <w:rPr>
                <w:rFonts w:ascii="仿宋" w:hAnsi="仿宋" w:eastAsia="仿宋"/>
                <w:sz w:val="24"/>
                <w:szCs w:val="24"/>
              </w:rPr>
            </w:pPr>
          </w:p>
        </w:tc>
        <w:tc>
          <w:tcPr>
            <w:tcW w:w="3000" w:type="dxa"/>
            <w:vMerge w:val="continue"/>
            <w:shd w:val="clear" w:color="auto" w:fill="auto"/>
            <w:vAlign w:val="center"/>
          </w:tcPr>
          <w:p>
            <w:pPr>
              <w:spacing w:line="300" w:lineRule="exact"/>
              <w:jc w:val="left"/>
              <w:outlineLvl w:val="0"/>
              <w:rPr>
                <w:rFonts w:ascii="仿宋" w:hAnsi="仿宋" w:eastAsia="仿宋"/>
                <w:sz w:val="24"/>
                <w:szCs w:val="24"/>
              </w:rPr>
            </w:pPr>
          </w:p>
        </w:tc>
        <w:tc>
          <w:tcPr>
            <w:tcW w:w="1417" w:type="dxa"/>
            <w:vMerge w:val="continue"/>
            <w:shd w:val="clear" w:color="auto" w:fill="auto"/>
            <w:vAlign w:val="center"/>
          </w:tcPr>
          <w:p>
            <w:pPr>
              <w:spacing w:line="300" w:lineRule="exact"/>
              <w:jc w:val="left"/>
              <w:outlineLvl w:val="0"/>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优</w:t>
            </w:r>
          </w:p>
        </w:tc>
        <w:tc>
          <w:tcPr>
            <w:tcW w:w="737"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良</w:t>
            </w:r>
          </w:p>
        </w:tc>
        <w:tc>
          <w:tcPr>
            <w:tcW w:w="737"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中</w:t>
            </w:r>
          </w:p>
        </w:tc>
        <w:tc>
          <w:tcPr>
            <w:tcW w:w="737"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24"/>
                <w:szCs w:val="24"/>
              </w:rPr>
            </w:pPr>
            <w:r>
              <w:rPr>
                <w:rFonts w:hint="eastAsia" w:ascii="仿宋" w:hAnsi="仿宋" w:eastAsia="仿宋"/>
                <w:b/>
                <w:sz w:val="24"/>
                <w:szCs w:val="24"/>
              </w:rPr>
              <w:t>一、精准脱贫建档立卡</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376.00</w:t>
            </w:r>
          </w:p>
        </w:tc>
        <w:tc>
          <w:tcPr>
            <w:tcW w:w="2952"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构建大扶贫格局，建档立卡贫困人口精准脱贫通过建档立卡为精准扶贫和精准脱贫奠定基础</w:t>
            </w:r>
          </w:p>
        </w:tc>
        <w:tc>
          <w:tcPr>
            <w:tcW w:w="3000"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完成年度脱贫任务按上级要求，精确管理建档立卡贫困人口</w:t>
            </w:r>
          </w:p>
        </w:tc>
        <w:tc>
          <w:tcPr>
            <w:tcW w:w="1417" w:type="dxa"/>
            <w:shd w:val="clear" w:color="auto" w:fill="auto"/>
            <w:vAlign w:val="center"/>
          </w:tcPr>
          <w:p>
            <w:pPr>
              <w:spacing w:line="300" w:lineRule="exact"/>
              <w:jc w:val="left"/>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 w:hAnsi="仿宋" w:eastAsia="仿宋"/>
                <w:b/>
                <w:sz w:val="24"/>
                <w:szCs w:val="24"/>
              </w:rPr>
            </w:pPr>
            <w:r>
              <w:rPr>
                <w:rFonts w:hint="eastAsia" w:ascii="仿宋" w:hAnsi="仿宋" w:eastAsia="仿宋"/>
                <w:b/>
                <w:sz w:val="24"/>
                <w:szCs w:val="24"/>
              </w:rPr>
              <w:t>　　</w:t>
            </w:r>
            <w:r>
              <w:rPr>
                <w:rFonts w:ascii="仿宋" w:hAnsi="仿宋" w:eastAsia="仿宋"/>
                <w:b/>
                <w:sz w:val="24"/>
                <w:szCs w:val="24"/>
              </w:rPr>
              <w:t>1</w:t>
            </w:r>
            <w:r>
              <w:rPr>
                <w:rFonts w:hint="eastAsia" w:ascii="仿宋" w:hAnsi="仿宋" w:eastAsia="仿宋"/>
                <w:b/>
                <w:sz w:val="24"/>
                <w:szCs w:val="24"/>
              </w:rPr>
              <w:t>、精准脱贫建档立卡</w:t>
            </w:r>
          </w:p>
        </w:tc>
        <w:tc>
          <w:tcPr>
            <w:tcW w:w="1276" w:type="dxa"/>
            <w:vMerge w:val="restart"/>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376.00</w:t>
            </w:r>
          </w:p>
        </w:tc>
        <w:tc>
          <w:tcPr>
            <w:tcW w:w="2952" w:type="dxa"/>
            <w:vMerge w:val="restart"/>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构建大扶贫格局，建档立卡贫困人口精准脱贫对纳入系统内建档立卡贫困人口实施动态管理，记录脱贫路径</w:t>
            </w:r>
          </w:p>
        </w:tc>
        <w:tc>
          <w:tcPr>
            <w:tcW w:w="3000" w:type="dxa"/>
            <w:vMerge w:val="restart"/>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完成年度脱贫任务按上级要求，精确管理建档立卡贫困人口</w:t>
            </w: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对符合贫困户动态调整率</w:t>
            </w:r>
          </w:p>
        </w:tc>
        <w:tc>
          <w:tcPr>
            <w:tcW w:w="737" w:type="dxa"/>
            <w:shd w:val="clear" w:color="auto" w:fill="auto"/>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95%</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sz w:val="24"/>
                <w:szCs w:val="24"/>
              </w:rPr>
            </w:pPr>
          </w:p>
        </w:tc>
        <w:tc>
          <w:tcPr>
            <w:tcW w:w="1276" w:type="dxa"/>
            <w:vMerge w:val="continue"/>
            <w:shd w:val="clear" w:color="auto" w:fill="auto"/>
            <w:vAlign w:val="center"/>
          </w:tcPr>
          <w:p>
            <w:pPr>
              <w:spacing w:line="300" w:lineRule="exact"/>
              <w:jc w:val="left"/>
              <w:rPr>
                <w:rFonts w:ascii="仿宋" w:hAnsi="仿宋" w:eastAsia="仿宋"/>
                <w:sz w:val="24"/>
                <w:szCs w:val="24"/>
              </w:rPr>
            </w:pPr>
          </w:p>
        </w:tc>
        <w:tc>
          <w:tcPr>
            <w:tcW w:w="2952" w:type="dxa"/>
            <w:vMerge w:val="continue"/>
            <w:shd w:val="clear" w:color="auto" w:fill="auto"/>
            <w:vAlign w:val="center"/>
          </w:tcPr>
          <w:p>
            <w:pPr>
              <w:spacing w:line="300" w:lineRule="exact"/>
              <w:jc w:val="left"/>
              <w:rPr>
                <w:rFonts w:ascii="仿宋" w:hAnsi="仿宋" w:eastAsia="仿宋"/>
                <w:sz w:val="24"/>
                <w:szCs w:val="24"/>
              </w:rPr>
            </w:pPr>
          </w:p>
        </w:tc>
        <w:tc>
          <w:tcPr>
            <w:tcW w:w="3000" w:type="dxa"/>
            <w:vMerge w:val="continue"/>
            <w:shd w:val="clear" w:color="auto" w:fill="auto"/>
            <w:vAlign w:val="center"/>
          </w:tcPr>
          <w:p>
            <w:pPr>
              <w:spacing w:line="300" w:lineRule="exact"/>
              <w:jc w:val="left"/>
              <w:rPr>
                <w:rFonts w:ascii="仿宋" w:hAnsi="仿宋" w:eastAsia="仿宋"/>
                <w:sz w:val="24"/>
                <w:szCs w:val="24"/>
              </w:rPr>
            </w:pP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精准脱贫档案规范率</w:t>
            </w:r>
          </w:p>
        </w:tc>
        <w:tc>
          <w:tcPr>
            <w:tcW w:w="737" w:type="dxa"/>
            <w:shd w:val="clear" w:color="auto" w:fill="auto"/>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95%</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sz w:val="24"/>
                <w:szCs w:val="24"/>
              </w:rPr>
            </w:pPr>
          </w:p>
        </w:tc>
        <w:tc>
          <w:tcPr>
            <w:tcW w:w="1276" w:type="dxa"/>
            <w:vMerge w:val="continue"/>
            <w:shd w:val="clear" w:color="auto" w:fill="auto"/>
            <w:vAlign w:val="center"/>
          </w:tcPr>
          <w:p>
            <w:pPr>
              <w:spacing w:line="300" w:lineRule="exact"/>
              <w:jc w:val="left"/>
              <w:rPr>
                <w:rFonts w:ascii="仿宋" w:hAnsi="仿宋" w:eastAsia="仿宋"/>
                <w:sz w:val="24"/>
                <w:szCs w:val="24"/>
              </w:rPr>
            </w:pPr>
          </w:p>
        </w:tc>
        <w:tc>
          <w:tcPr>
            <w:tcW w:w="2952" w:type="dxa"/>
            <w:vMerge w:val="continue"/>
            <w:shd w:val="clear" w:color="auto" w:fill="auto"/>
            <w:vAlign w:val="center"/>
          </w:tcPr>
          <w:p>
            <w:pPr>
              <w:spacing w:line="300" w:lineRule="exact"/>
              <w:jc w:val="left"/>
              <w:rPr>
                <w:rFonts w:ascii="仿宋" w:hAnsi="仿宋" w:eastAsia="仿宋"/>
                <w:sz w:val="24"/>
                <w:szCs w:val="24"/>
              </w:rPr>
            </w:pPr>
          </w:p>
        </w:tc>
        <w:tc>
          <w:tcPr>
            <w:tcW w:w="3000" w:type="dxa"/>
            <w:vMerge w:val="continue"/>
            <w:shd w:val="clear" w:color="auto" w:fill="auto"/>
            <w:vAlign w:val="center"/>
          </w:tcPr>
          <w:p>
            <w:pPr>
              <w:spacing w:line="300" w:lineRule="exact"/>
              <w:jc w:val="left"/>
              <w:rPr>
                <w:rFonts w:ascii="仿宋" w:hAnsi="仿宋" w:eastAsia="仿宋"/>
                <w:sz w:val="24"/>
                <w:szCs w:val="24"/>
              </w:rPr>
            </w:pP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完成脱贫计划率</w:t>
            </w:r>
          </w:p>
        </w:tc>
        <w:tc>
          <w:tcPr>
            <w:tcW w:w="737" w:type="dxa"/>
            <w:shd w:val="clear" w:color="auto" w:fill="auto"/>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95%</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24"/>
                <w:szCs w:val="24"/>
              </w:rPr>
            </w:pPr>
            <w:r>
              <w:rPr>
                <w:rFonts w:hint="eastAsia" w:ascii="仿宋" w:hAnsi="仿宋" w:eastAsia="仿宋"/>
                <w:b/>
                <w:sz w:val="24"/>
                <w:szCs w:val="24"/>
              </w:rPr>
              <w:t>二、产业扶贫</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15730.00</w:t>
            </w:r>
          </w:p>
        </w:tc>
        <w:tc>
          <w:tcPr>
            <w:tcW w:w="2952"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围绕县域主导产业，大力发展富民产业</w:t>
            </w:r>
          </w:p>
        </w:tc>
        <w:tc>
          <w:tcPr>
            <w:tcW w:w="3000"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加大投入财政扶贫资金投入力度，产业规模逐步增大，带动贫困户增收能力增强</w:t>
            </w:r>
          </w:p>
        </w:tc>
        <w:tc>
          <w:tcPr>
            <w:tcW w:w="1417" w:type="dxa"/>
            <w:shd w:val="clear" w:color="auto" w:fill="auto"/>
            <w:vAlign w:val="center"/>
          </w:tcPr>
          <w:p>
            <w:pPr>
              <w:spacing w:line="300" w:lineRule="exact"/>
              <w:jc w:val="left"/>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 w:hAnsi="仿宋" w:eastAsia="仿宋"/>
                <w:b/>
                <w:sz w:val="24"/>
                <w:szCs w:val="24"/>
              </w:rPr>
            </w:pPr>
            <w:r>
              <w:rPr>
                <w:rFonts w:hint="eastAsia" w:ascii="仿宋" w:hAnsi="仿宋" w:eastAsia="仿宋"/>
                <w:b/>
                <w:sz w:val="24"/>
                <w:szCs w:val="24"/>
              </w:rPr>
              <w:t>　　</w:t>
            </w:r>
            <w:r>
              <w:rPr>
                <w:rFonts w:ascii="仿宋" w:hAnsi="仿宋" w:eastAsia="仿宋"/>
                <w:b/>
                <w:sz w:val="24"/>
                <w:szCs w:val="24"/>
              </w:rPr>
              <w:t>1</w:t>
            </w:r>
            <w:r>
              <w:rPr>
                <w:rFonts w:hint="eastAsia" w:ascii="仿宋" w:hAnsi="仿宋" w:eastAsia="仿宋"/>
                <w:b/>
                <w:sz w:val="24"/>
                <w:szCs w:val="24"/>
              </w:rPr>
              <w:t>、产业扶贫</w:t>
            </w:r>
          </w:p>
        </w:tc>
        <w:tc>
          <w:tcPr>
            <w:tcW w:w="1276" w:type="dxa"/>
            <w:vMerge w:val="restart"/>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15730.00</w:t>
            </w:r>
          </w:p>
        </w:tc>
        <w:tc>
          <w:tcPr>
            <w:tcW w:w="2952" w:type="dxa"/>
            <w:vMerge w:val="restart"/>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有机农业种植：发展蔬菜、食用菌、中草药等；发展肉驴、生猪、肉羊、肉牛等养殖业；发展农业龙头企业、农民专业合作社、家庭农场等农业生产经营主体发展项目</w:t>
            </w:r>
          </w:p>
        </w:tc>
        <w:tc>
          <w:tcPr>
            <w:tcW w:w="3000" w:type="dxa"/>
            <w:vMerge w:val="restart"/>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加大投入财政扶贫资金投入力度，产业规模逐步增大，带动贫困户增收能力增强</w:t>
            </w: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验收通过率</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85%</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sz w:val="24"/>
                <w:szCs w:val="24"/>
              </w:rPr>
            </w:pPr>
          </w:p>
        </w:tc>
        <w:tc>
          <w:tcPr>
            <w:tcW w:w="1276" w:type="dxa"/>
            <w:vMerge w:val="continue"/>
            <w:shd w:val="clear" w:color="auto" w:fill="auto"/>
            <w:vAlign w:val="center"/>
          </w:tcPr>
          <w:p>
            <w:pPr>
              <w:spacing w:line="300" w:lineRule="exact"/>
              <w:jc w:val="left"/>
              <w:rPr>
                <w:rFonts w:ascii="仿宋" w:hAnsi="仿宋" w:eastAsia="仿宋"/>
                <w:sz w:val="24"/>
                <w:szCs w:val="24"/>
              </w:rPr>
            </w:pPr>
          </w:p>
        </w:tc>
        <w:tc>
          <w:tcPr>
            <w:tcW w:w="2952" w:type="dxa"/>
            <w:vMerge w:val="continue"/>
            <w:shd w:val="clear" w:color="auto" w:fill="auto"/>
            <w:vAlign w:val="center"/>
          </w:tcPr>
          <w:p>
            <w:pPr>
              <w:spacing w:line="300" w:lineRule="exact"/>
              <w:jc w:val="left"/>
              <w:rPr>
                <w:rFonts w:ascii="仿宋" w:hAnsi="仿宋" w:eastAsia="仿宋"/>
                <w:sz w:val="24"/>
                <w:szCs w:val="24"/>
              </w:rPr>
            </w:pPr>
          </w:p>
        </w:tc>
        <w:tc>
          <w:tcPr>
            <w:tcW w:w="3000" w:type="dxa"/>
            <w:vMerge w:val="continue"/>
            <w:shd w:val="clear" w:color="auto" w:fill="auto"/>
            <w:vAlign w:val="center"/>
          </w:tcPr>
          <w:p>
            <w:pPr>
              <w:spacing w:line="300" w:lineRule="exact"/>
              <w:jc w:val="left"/>
              <w:rPr>
                <w:rFonts w:ascii="仿宋" w:hAnsi="仿宋" w:eastAsia="仿宋"/>
                <w:sz w:val="24"/>
                <w:szCs w:val="24"/>
              </w:rPr>
            </w:pP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完成报账率</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85%</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sz w:val="24"/>
                <w:szCs w:val="24"/>
              </w:rPr>
            </w:pPr>
          </w:p>
        </w:tc>
        <w:tc>
          <w:tcPr>
            <w:tcW w:w="1276" w:type="dxa"/>
            <w:vMerge w:val="continue"/>
            <w:shd w:val="clear" w:color="auto" w:fill="auto"/>
            <w:vAlign w:val="center"/>
          </w:tcPr>
          <w:p>
            <w:pPr>
              <w:spacing w:line="300" w:lineRule="exact"/>
              <w:jc w:val="left"/>
              <w:rPr>
                <w:rFonts w:ascii="仿宋" w:hAnsi="仿宋" w:eastAsia="仿宋"/>
                <w:sz w:val="24"/>
                <w:szCs w:val="24"/>
              </w:rPr>
            </w:pPr>
          </w:p>
        </w:tc>
        <w:tc>
          <w:tcPr>
            <w:tcW w:w="2952" w:type="dxa"/>
            <w:vMerge w:val="continue"/>
            <w:shd w:val="clear" w:color="auto" w:fill="auto"/>
            <w:vAlign w:val="center"/>
          </w:tcPr>
          <w:p>
            <w:pPr>
              <w:spacing w:line="300" w:lineRule="exact"/>
              <w:jc w:val="left"/>
              <w:rPr>
                <w:rFonts w:ascii="仿宋" w:hAnsi="仿宋" w:eastAsia="仿宋"/>
                <w:sz w:val="24"/>
                <w:szCs w:val="24"/>
              </w:rPr>
            </w:pPr>
          </w:p>
        </w:tc>
        <w:tc>
          <w:tcPr>
            <w:tcW w:w="3000" w:type="dxa"/>
            <w:vMerge w:val="continue"/>
            <w:shd w:val="clear" w:color="auto" w:fill="auto"/>
            <w:vAlign w:val="center"/>
          </w:tcPr>
          <w:p>
            <w:pPr>
              <w:spacing w:line="300" w:lineRule="exact"/>
              <w:jc w:val="left"/>
              <w:rPr>
                <w:rFonts w:ascii="仿宋" w:hAnsi="仿宋" w:eastAsia="仿宋"/>
                <w:sz w:val="24"/>
                <w:szCs w:val="24"/>
              </w:rPr>
            </w:pP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项目验收通过率</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85%</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24"/>
                <w:szCs w:val="24"/>
              </w:rPr>
            </w:pPr>
            <w:r>
              <w:rPr>
                <w:rFonts w:hint="eastAsia" w:ascii="仿宋" w:hAnsi="仿宋" w:eastAsia="仿宋"/>
                <w:b/>
                <w:sz w:val="24"/>
                <w:szCs w:val="24"/>
              </w:rPr>
              <w:t>三、社会扶贫</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6413.00</w:t>
            </w:r>
          </w:p>
        </w:tc>
        <w:tc>
          <w:tcPr>
            <w:tcW w:w="2952"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协调国家、省、市各级帮扶部门帮扶贫困村</w:t>
            </w:r>
          </w:p>
        </w:tc>
        <w:tc>
          <w:tcPr>
            <w:tcW w:w="3000"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贫困村每村都有帮扶工作队，每个贫困户都有帮扶责任人，每个工作队并利用帮扶单位优势帮助贫困村发展产业，搞好基础设施和社会事业建设</w:t>
            </w:r>
          </w:p>
        </w:tc>
        <w:tc>
          <w:tcPr>
            <w:tcW w:w="1417" w:type="dxa"/>
            <w:shd w:val="clear" w:color="auto" w:fill="auto"/>
            <w:vAlign w:val="center"/>
          </w:tcPr>
          <w:p>
            <w:pPr>
              <w:spacing w:line="300" w:lineRule="exact"/>
              <w:jc w:val="left"/>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24"/>
                <w:szCs w:val="24"/>
              </w:rPr>
            </w:pPr>
            <w:r>
              <w:rPr>
                <w:rFonts w:hint="eastAsia" w:ascii="仿宋" w:hAnsi="仿宋" w:eastAsia="仿宋"/>
                <w:b/>
                <w:sz w:val="24"/>
                <w:szCs w:val="24"/>
              </w:rPr>
              <w:t>　　</w:t>
            </w:r>
            <w:r>
              <w:rPr>
                <w:rFonts w:ascii="仿宋" w:hAnsi="仿宋" w:eastAsia="仿宋"/>
                <w:b/>
                <w:sz w:val="24"/>
                <w:szCs w:val="24"/>
              </w:rPr>
              <w:t>1</w:t>
            </w:r>
            <w:r>
              <w:rPr>
                <w:rFonts w:hint="eastAsia" w:ascii="仿宋" w:hAnsi="仿宋" w:eastAsia="仿宋"/>
                <w:b/>
                <w:sz w:val="24"/>
                <w:szCs w:val="24"/>
              </w:rPr>
              <w:t>、社会扶贫</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6413.00</w:t>
            </w:r>
          </w:p>
        </w:tc>
        <w:tc>
          <w:tcPr>
            <w:tcW w:w="2952"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充分发挥民建中央，</w:t>
            </w:r>
            <w:r>
              <w:rPr>
                <w:rFonts w:ascii="仿宋" w:hAnsi="仿宋" w:eastAsia="仿宋"/>
                <w:sz w:val="24"/>
                <w:szCs w:val="24"/>
              </w:rPr>
              <w:t>46</w:t>
            </w:r>
            <w:r>
              <w:rPr>
                <w:rFonts w:hint="eastAsia" w:ascii="仿宋" w:hAnsi="仿宋" w:eastAsia="仿宋"/>
                <w:sz w:val="24"/>
                <w:szCs w:val="24"/>
              </w:rPr>
              <w:t>个个省直工作队、</w:t>
            </w:r>
            <w:r>
              <w:rPr>
                <w:rFonts w:ascii="仿宋" w:hAnsi="仿宋" w:eastAsia="仿宋"/>
                <w:sz w:val="24"/>
                <w:szCs w:val="24"/>
              </w:rPr>
              <w:t>43</w:t>
            </w:r>
            <w:r>
              <w:rPr>
                <w:rFonts w:hint="eastAsia" w:ascii="仿宋" w:hAnsi="仿宋" w:eastAsia="仿宋"/>
                <w:sz w:val="24"/>
                <w:szCs w:val="24"/>
              </w:rPr>
              <w:t>个市直工作队、</w:t>
            </w:r>
            <w:r>
              <w:rPr>
                <w:rFonts w:ascii="仿宋" w:hAnsi="仿宋" w:eastAsia="仿宋"/>
                <w:sz w:val="24"/>
                <w:szCs w:val="24"/>
              </w:rPr>
              <w:t>82</w:t>
            </w:r>
            <w:r>
              <w:rPr>
                <w:rFonts w:hint="eastAsia" w:ascii="仿宋" w:hAnsi="仿宋" w:eastAsia="仿宋"/>
                <w:sz w:val="24"/>
                <w:szCs w:val="24"/>
              </w:rPr>
              <w:t>个县直工作队对口帮扶部门作用，为扶贫开发注入强大动力</w:t>
            </w:r>
          </w:p>
        </w:tc>
        <w:tc>
          <w:tcPr>
            <w:tcW w:w="3000"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贫困村每村都有帮扶工作队，每个贫困户都有帮扶责任人，投入帮扶资金</w:t>
            </w:r>
            <w:r>
              <w:rPr>
                <w:rFonts w:ascii="仿宋" w:hAnsi="仿宋" w:eastAsia="仿宋"/>
                <w:sz w:val="24"/>
                <w:szCs w:val="24"/>
              </w:rPr>
              <w:t>500</w:t>
            </w:r>
            <w:r>
              <w:rPr>
                <w:rFonts w:hint="eastAsia" w:ascii="仿宋" w:hAnsi="仿宋" w:eastAsia="仿宋"/>
                <w:sz w:val="24"/>
                <w:szCs w:val="24"/>
              </w:rPr>
              <w:t>万元以上</w:t>
            </w: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实现帮扶工作全覆盖率</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85%</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24"/>
                <w:szCs w:val="24"/>
              </w:rPr>
            </w:pPr>
            <w:r>
              <w:rPr>
                <w:rFonts w:hint="eastAsia" w:ascii="仿宋" w:hAnsi="仿宋" w:eastAsia="仿宋"/>
                <w:b/>
                <w:sz w:val="24"/>
                <w:szCs w:val="24"/>
              </w:rPr>
              <w:t>四、扶贫培训</w:t>
            </w:r>
          </w:p>
        </w:tc>
        <w:tc>
          <w:tcPr>
            <w:tcW w:w="1276" w:type="dxa"/>
            <w:shd w:val="clear" w:color="auto" w:fill="auto"/>
            <w:vAlign w:val="center"/>
          </w:tcPr>
          <w:p>
            <w:pPr>
              <w:spacing w:line="300" w:lineRule="exact"/>
              <w:jc w:val="left"/>
              <w:rPr>
                <w:rFonts w:ascii="仿宋" w:hAnsi="仿宋" w:eastAsia="仿宋"/>
                <w:sz w:val="24"/>
                <w:szCs w:val="24"/>
              </w:rPr>
            </w:pPr>
          </w:p>
        </w:tc>
        <w:tc>
          <w:tcPr>
            <w:tcW w:w="2952"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落实建档立卡家庭子女职业教育补贴，对建档立卡贫困户给予技能培训，对扶贫工作人员进行业务培训</w:t>
            </w:r>
          </w:p>
        </w:tc>
        <w:tc>
          <w:tcPr>
            <w:tcW w:w="3000"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及时发放建档立卡家庭子女职业教育补贴；对建档立卡贫困户培训种植、养殖等生产技术；对扶贫系统工作人员进行政策、业务培训。</w:t>
            </w:r>
          </w:p>
        </w:tc>
        <w:tc>
          <w:tcPr>
            <w:tcW w:w="1417" w:type="dxa"/>
            <w:shd w:val="clear" w:color="auto" w:fill="auto"/>
            <w:vAlign w:val="center"/>
          </w:tcPr>
          <w:p>
            <w:pPr>
              <w:spacing w:line="300" w:lineRule="exact"/>
              <w:jc w:val="left"/>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 w:hAnsi="仿宋" w:eastAsia="仿宋"/>
                <w:b/>
                <w:sz w:val="24"/>
                <w:szCs w:val="24"/>
              </w:rPr>
            </w:pPr>
            <w:r>
              <w:rPr>
                <w:rFonts w:hint="eastAsia" w:ascii="仿宋" w:hAnsi="仿宋" w:eastAsia="仿宋"/>
                <w:b/>
                <w:sz w:val="24"/>
                <w:szCs w:val="24"/>
              </w:rPr>
              <w:t>　　</w:t>
            </w:r>
            <w:r>
              <w:rPr>
                <w:rFonts w:ascii="仿宋" w:hAnsi="仿宋" w:eastAsia="仿宋"/>
                <w:b/>
                <w:sz w:val="24"/>
                <w:szCs w:val="24"/>
              </w:rPr>
              <w:t>1</w:t>
            </w:r>
            <w:r>
              <w:rPr>
                <w:rFonts w:hint="eastAsia" w:ascii="仿宋" w:hAnsi="仿宋" w:eastAsia="仿宋"/>
                <w:b/>
                <w:sz w:val="24"/>
                <w:szCs w:val="24"/>
              </w:rPr>
              <w:t>、扶贫培训</w:t>
            </w:r>
          </w:p>
        </w:tc>
        <w:tc>
          <w:tcPr>
            <w:tcW w:w="1276" w:type="dxa"/>
            <w:vMerge w:val="restart"/>
            <w:shd w:val="clear" w:color="auto" w:fill="auto"/>
            <w:vAlign w:val="center"/>
          </w:tcPr>
          <w:p>
            <w:pPr>
              <w:spacing w:line="300" w:lineRule="exact"/>
              <w:jc w:val="left"/>
              <w:rPr>
                <w:rFonts w:ascii="仿宋" w:hAnsi="仿宋" w:eastAsia="仿宋"/>
                <w:sz w:val="24"/>
                <w:szCs w:val="24"/>
              </w:rPr>
            </w:pPr>
          </w:p>
        </w:tc>
        <w:tc>
          <w:tcPr>
            <w:tcW w:w="2952" w:type="dxa"/>
            <w:vMerge w:val="restart"/>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落实建档立卡家庭子女职业教育补贴，对建档立卡贫困户给予技能培训，对扶贫工作人员进行业务培训</w:t>
            </w:r>
          </w:p>
        </w:tc>
        <w:tc>
          <w:tcPr>
            <w:tcW w:w="3000" w:type="dxa"/>
            <w:vMerge w:val="restart"/>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及时发放建档立卡家庭子女职业教育补贴；对建档立卡贫困户培训种植、养殖等生产技术；对扶贫系统工作人员进行政策、业务培训。</w:t>
            </w: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全额发放建档立卡家庭子女职业教育补贴率</w:t>
            </w:r>
          </w:p>
        </w:tc>
        <w:tc>
          <w:tcPr>
            <w:tcW w:w="737" w:type="dxa"/>
            <w:shd w:val="clear" w:color="auto" w:fill="auto"/>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95%</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sz w:val="24"/>
                <w:szCs w:val="24"/>
              </w:rPr>
            </w:pPr>
          </w:p>
        </w:tc>
        <w:tc>
          <w:tcPr>
            <w:tcW w:w="1276" w:type="dxa"/>
            <w:vMerge w:val="continue"/>
            <w:shd w:val="clear" w:color="auto" w:fill="auto"/>
            <w:vAlign w:val="center"/>
          </w:tcPr>
          <w:p>
            <w:pPr>
              <w:spacing w:line="300" w:lineRule="exact"/>
              <w:jc w:val="left"/>
              <w:rPr>
                <w:rFonts w:ascii="仿宋" w:hAnsi="仿宋" w:eastAsia="仿宋"/>
                <w:sz w:val="24"/>
                <w:szCs w:val="24"/>
              </w:rPr>
            </w:pPr>
          </w:p>
        </w:tc>
        <w:tc>
          <w:tcPr>
            <w:tcW w:w="2952" w:type="dxa"/>
            <w:vMerge w:val="continue"/>
            <w:shd w:val="clear" w:color="auto" w:fill="auto"/>
            <w:vAlign w:val="center"/>
          </w:tcPr>
          <w:p>
            <w:pPr>
              <w:spacing w:line="300" w:lineRule="exact"/>
              <w:jc w:val="left"/>
              <w:rPr>
                <w:rFonts w:ascii="仿宋" w:hAnsi="仿宋" w:eastAsia="仿宋"/>
                <w:sz w:val="24"/>
                <w:szCs w:val="24"/>
              </w:rPr>
            </w:pPr>
          </w:p>
        </w:tc>
        <w:tc>
          <w:tcPr>
            <w:tcW w:w="3000" w:type="dxa"/>
            <w:vMerge w:val="continue"/>
            <w:shd w:val="clear" w:color="auto" w:fill="auto"/>
            <w:vAlign w:val="center"/>
          </w:tcPr>
          <w:p>
            <w:pPr>
              <w:spacing w:line="300" w:lineRule="exact"/>
              <w:jc w:val="left"/>
              <w:rPr>
                <w:rFonts w:ascii="仿宋" w:hAnsi="仿宋" w:eastAsia="仿宋"/>
                <w:sz w:val="24"/>
                <w:szCs w:val="24"/>
              </w:rPr>
            </w:pP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按培训计划对建档立卡贫困户培训种植、养殖等生产技术培训覆盖率</w:t>
            </w:r>
          </w:p>
        </w:tc>
        <w:tc>
          <w:tcPr>
            <w:tcW w:w="737" w:type="dxa"/>
            <w:shd w:val="clear" w:color="auto" w:fill="auto"/>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95%</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sz w:val="24"/>
                <w:szCs w:val="24"/>
              </w:rPr>
            </w:pPr>
          </w:p>
        </w:tc>
        <w:tc>
          <w:tcPr>
            <w:tcW w:w="1276" w:type="dxa"/>
            <w:vMerge w:val="continue"/>
            <w:shd w:val="clear" w:color="auto" w:fill="auto"/>
            <w:vAlign w:val="center"/>
          </w:tcPr>
          <w:p>
            <w:pPr>
              <w:spacing w:line="300" w:lineRule="exact"/>
              <w:jc w:val="left"/>
              <w:rPr>
                <w:rFonts w:ascii="仿宋" w:hAnsi="仿宋" w:eastAsia="仿宋"/>
                <w:sz w:val="24"/>
                <w:szCs w:val="24"/>
              </w:rPr>
            </w:pPr>
          </w:p>
        </w:tc>
        <w:tc>
          <w:tcPr>
            <w:tcW w:w="2952" w:type="dxa"/>
            <w:vMerge w:val="continue"/>
            <w:shd w:val="clear" w:color="auto" w:fill="auto"/>
            <w:vAlign w:val="center"/>
          </w:tcPr>
          <w:p>
            <w:pPr>
              <w:spacing w:line="300" w:lineRule="exact"/>
              <w:jc w:val="left"/>
              <w:rPr>
                <w:rFonts w:ascii="仿宋" w:hAnsi="仿宋" w:eastAsia="仿宋"/>
                <w:sz w:val="24"/>
                <w:szCs w:val="24"/>
              </w:rPr>
            </w:pPr>
          </w:p>
        </w:tc>
        <w:tc>
          <w:tcPr>
            <w:tcW w:w="3000" w:type="dxa"/>
            <w:vMerge w:val="continue"/>
            <w:shd w:val="clear" w:color="auto" w:fill="auto"/>
            <w:vAlign w:val="center"/>
          </w:tcPr>
          <w:p>
            <w:pPr>
              <w:spacing w:line="300" w:lineRule="exact"/>
              <w:jc w:val="left"/>
              <w:rPr>
                <w:rFonts w:ascii="仿宋" w:hAnsi="仿宋" w:eastAsia="仿宋"/>
                <w:sz w:val="24"/>
                <w:szCs w:val="24"/>
              </w:rPr>
            </w:pP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培训人员满意度</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85%</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24"/>
                <w:szCs w:val="24"/>
              </w:rPr>
            </w:pPr>
            <w:r>
              <w:rPr>
                <w:rFonts w:hint="eastAsia" w:ascii="仿宋" w:hAnsi="仿宋" w:eastAsia="仿宋"/>
                <w:b/>
                <w:sz w:val="24"/>
                <w:szCs w:val="24"/>
              </w:rPr>
              <w:t>五、政务管理</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337.89</w:t>
            </w:r>
          </w:p>
        </w:tc>
        <w:tc>
          <w:tcPr>
            <w:tcW w:w="2952"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负责部门综合业务和综合事务管理。</w:t>
            </w:r>
          </w:p>
        </w:tc>
        <w:tc>
          <w:tcPr>
            <w:tcW w:w="3000"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保障机关正常运转</w:t>
            </w:r>
          </w:p>
        </w:tc>
        <w:tc>
          <w:tcPr>
            <w:tcW w:w="1417" w:type="dxa"/>
            <w:shd w:val="clear" w:color="auto" w:fill="auto"/>
            <w:vAlign w:val="center"/>
          </w:tcPr>
          <w:p>
            <w:pPr>
              <w:spacing w:line="300" w:lineRule="exact"/>
              <w:jc w:val="left"/>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24"/>
                <w:szCs w:val="24"/>
              </w:rPr>
            </w:pPr>
            <w:r>
              <w:rPr>
                <w:rFonts w:hint="eastAsia" w:ascii="仿宋" w:hAnsi="仿宋" w:eastAsia="仿宋"/>
                <w:b/>
                <w:sz w:val="24"/>
                <w:szCs w:val="24"/>
              </w:rPr>
              <w:t>　　</w:t>
            </w:r>
            <w:r>
              <w:rPr>
                <w:rFonts w:ascii="仿宋" w:hAnsi="仿宋" w:eastAsia="仿宋"/>
                <w:b/>
                <w:sz w:val="24"/>
                <w:szCs w:val="24"/>
              </w:rPr>
              <w:t>1</w:t>
            </w:r>
            <w:r>
              <w:rPr>
                <w:rFonts w:hint="eastAsia" w:ascii="仿宋" w:hAnsi="仿宋" w:eastAsia="仿宋"/>
                <w:b/>
                <w:sz w:val="24"/>
                <w:szCs w:val="24"/>
              </w:rPr>
              <w:t>、政务管理</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337.89</w:t>
            </w:r>
          </w:p>
        </w:tc>
        <w:tc>
          <w:tcPr>
            <w:tcW w:w="2952"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对纳入系统内建档立卡贫困人口实施动态管理，记录脱贫路径</w:t>
            </w:r>
          </w:p>
        </w:tc>
        <w:tc>
          <w:tcPr>
            <w:tcW w:w="3000"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保障机关正常运转</w:t>
            </w: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各项综合事务工作完成率</w:t>
            </w:r>
          </w:p>
        </w:tc>
        <w:tc>
          <w:tcPr>
            <w:tcW w:w="737" w:type="dxa"/>
            <w:shd w:val="clear" w:color="auto" w:fill="auto"/>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95%</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ascii="仿宋" w:hAnsi="仿宋" w:eastAsia="仿宋"/>
                <w:sz w:val="24"/>
                <w:szCs w:val="24"/>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24"/>
                <w:szCs w:val="24"/>
              </w:rPr>
            </w:pPr>
            <w:r>
              <w:rPr>
                <w:rFonts w:hint="eastAsia" w:ascii="仿宋" w:hAnsi="仿宋" w:eastAsia="仿宋"/>
                <w:b/>
                <w:sz w:val="24"/>
                <w:szCs w:val="24"/>
              </w:rPr>
              <w:t>六、金融扶贫</w:t>
            </w:r>
          </w:p>
        </w:tc>
        <w:tc>
          <w:tcPr>
            <w:tcW w:w="1276" w:type="dxa"/>
            <w:shd w:val="clear" w:color="auto" w:fill="auto"/>
            <w:vAlign w:val="center"/>
          </w:tcPr>
          <w:p>
            <w:pPr>
              <w:spacing w:line="300" w:lineRule="exact"/>
              <w:jc w:val="left"/>
              <w:rPr>
                <w:rFonts w:ascii="仿宋" w:hAnsi="仿宋" w:eastAsia="仿宋"/>
                <w:sz w:val="24"/>
                <w:szCs w:val="24"/>
              </w:rPr>
            </w:pPr>
          </w:p>
        </w:tc>
        <w:tc>
          <w:tcPr>
            <w:tcW w:w="2952"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做好担保中心和投融资平台建设、农户自立服务社的运行</w:t>
            </w:r>
          </w:p>
        </w:tc>
        <w:tc>
          <w:tcPr>
            <w:tcW w:w="3000"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为贫困户提供贷款，从担保基金和县财政专项扶贫资金列支小额信贷扶贫风险金补偿金</w:t>
            </w:r>
          </w:p>
        </w:tc>
        <w:tc>
          <w:tcPr>
            <w:tcW w:w="1417" w:type="dxa"/>
            <w:shd w:val="clear" w:color="auto" w:fill="auto"/>
            <w:vAlign w:val="center"/>
          </w:tcPr>
          <w:p>
            <w:pPr>
              <w:spacing w:line="300" w:lineRule="exact"/>
              <w:jc w:val="left"/>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 w:hAnsi="仿宋" w:eastAsia="仿宋"/>
                <w:b/>
                <w:sz w:val="24"/>
                <w:szCs w:val="24"/>
              </w:rPr>
            </w:pPr>
            <w:r>
              <w:rPr>
                <w:rFonts w:hint="eastAsia" w:ascii="仿宋" w:hAnsi="仿宋" w:eastAsia="仿宋"/>
                <w:b/>
                <w:sz w:val="24"/>
                <w:szCs w:val="24"/>
              </w:rPr>
              <w:t>　　</w:t>
            </w:r>
            <w:r>
              <w:rPr>
                <w:rFonts w:ascii="仿宋" w:hAnsi="仿宋" w:eastAsia="仿宋"/>
                <w:b/>
                <w:sz w:val="24"/>
                <w:szCs w:val="24"/>
              </w:rPr>
              <w:t>1</w:t>
            </w:r>
            <w:r>
              <w:rPr>
                <w:rFonts w:hint="eastAsia" w:ascii="仿宋" w:hAnsi="仿宋" w:eastAsia="仿宋"/>
                <w:b/>
                <w:sz w:val="24"/>
                <w:szCs w:val="24"/>
              </w:rPr>
              <w:t>、金融扶贫</w:t>
            </w:r>
          </w:p>
        </w:tc>
        <w:tc>
          <w:tcPr>
            <w:tcW w:w="1276" w:type="dxa"/>
            <w:vMerge w:val="restart"/>
            <w:shd w:val="clear" w:color="auto" w:fill="auto"/>
            <w:vAlign w:val="center"/>
          </w:tcPr>
          <w:p>
            <w:pPr>
              <w:spacing w:line="300" w:lineRule="exact"/>
              <w:jc w:val="left"/>
              <w:rPr>
                <w:rFonts w:ascii="仿宋" w:hAnsi="仿宋" w:eastAsia="仿宋"/>
                <w:sz w:val="24"/>
                <w:szCs w:val="24"/>
              </w:rPr>
            </w:pPr>
          </w:p>
        </w:tc>
        <w:tc>
          <w:tcPr>
            <w:tcW w:w="2952" w:type="dxa"/>
            <w:vMerge w:val="restart"/>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提升金融支撑，做好担保中心和投融资平台建设、农户自立服务社的运行</w:t>
            </w:r>
          </w:p>
        </w:tc>
        <w:tc>
          <w:tcPr>
            <w:tcW w:w="3000" w:type="dxa"/>
            <w:vMerge w:val="restart"/>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为贫困户提供贷款，从担保基金和县财政专项扶贫资金列支小额信贷扶贫风险金补偿金</w:t>
            </w: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小额贷款发放率</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85%</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sz w:val="24"/>
                <w:szCs w:val="24"/>
              </w:rPr>
            </w:pPr>
          </w:p>
        </w:tc>
        <w:tc>
          <w:tcPr>
            <w:tcW w:w="1276" w:type="dxa"/>
            <w:vMerge w:val="continue"/>
            <w:shd w:val="clear" w:color="auto" w:fill="auto"/>
            <w:vAlign w:val="center"/>
          </w:tcPr>
          <w:p>
            <w:pPr>
              <w:spacing w:line="300" w:lineRule="exact"/>
              <w:jc w:val="left"/>
              <w:rPr>
                <w:rFonts w:ascii="仿宋" w:hAnsi="仿宋" w:eastAsia="仿宋"/>
                <w:sz w:val="24"/>
                <w:szCs w:val="24"/>
              </w:rPr>
            </w:pPr>
          </w:p>
        </w:tc>
        <w:tc>
          <w:tcPr>
            <w:tcW w:w="2952" w:type="dxa"/>
            <w:vMerge w:val="continue"/>
            <w:shd w:val="clear" w:color="auto" w:fill="auto"/>
            <w:vAlign w:val="center"/>
          </w:tcPr>
          <w:p>
            <w:pPr>
              <w:spacing w:line="300" w:lineRule="exact"/>
              <w:jc w:val="left"/>
              <w:rPr>
                <w:rFonts w:ascii="仿宋" w:hAnsi="仿宋" w:eastAsia="仿宋"/>
                <w:sz w:val="24"/>
                <w:szCs w:val="24"/>
              </w:rPr>
            </w:pPr>
          </w:p>
        </w:tc>
        <w:tc>
          <w:tcPr>
            <w:tcW w:w="3000" w:type="dxa"/>
            <w:vMerge w:val="continue"/>
            <w:shd w:val="clear" w:color="auto" w:fill="auto"/>
            <w:vAlign w:val="center"/>
          </w:tcPr>
          <w:p>
            <w:pPr>
              <w:spacing w:line="300" w:lineRule="exact"/>
              <w:jc w:val="left"/>
              <w:rPr>
                <w:rFonts w:ascii="仿宋" w:hAnsi="仿宋" w:eastAsia="仿宋"/>
                <w:sz w:val="24"/>
                <w:szCs w:val="24"/>
              </w:rPr>
            </w:pP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担保金到位率</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85%</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24"/>
                <w:szCs w:val="24"/>
              </w:rPr>
            </w:pPr>
            <w:r>
              <w:rPr>
                <w:rFonts w:hint="eastAsia" w:ascii="仿宋" w:hAnsi="仿宋" w:eastAsia="仿宋"/>
                <w:b/>
                <w:sz w:val="24"/>
                <w:szCs w:val="24"/>
              </w:rPr>
              <w:t>七、农业土地治理</w:t>
            </w:r>
          </w:p>
        </w:tc>
        <w:tc>
          <w:tcPr>
            <w:tcW w:w="1276" w:type="dxa"/>
            <w:shd w:val="clear" w:color="auto" w:fill="auto"/>
            <w:vAlign w:val="center"/>
          </w:tcPr>
          <w:p>
            <w:pPr>
              <w:spacing w:line="300" w:lineRule="exact"/>
              <w:jc w:val="left"/>
              <w:rPr>
                <w:rFonts w:ascii="仿宋" w:hAnsi="仿宋" w:eastAsia="仿宋"/>
                <w:sz w:val="24"/>
                <w:szCs w:val="24"/>
              </w:rPr>
            </w:pPr>
          </w:p>
        </w:tc>
        <w:tc>
          <w:tcPr>
            <w:tcW w:w="2952"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贯彻执行国家农业综合开发方针、政策，按照省农业综合开发政策及项目立项、实施、检查验收等管理办法，管理全县农业综合开发资金和各类农业综合开发项目。</w:t>
            </w:r>
          </w:p>
        </w:tc>
        <w:tc>
          <w:tcPr>
            <w:tcW w:w="3000"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通过土地治理项目，有效改善农业生产条件和生态环境，提高农业综合生产能力。</w:t>
            </w:r>
          </w:p>
        </w:tc>
        <w:tc>
          <w:tcPr>
            <w:tcW w:w="1417" w:type="dxa"/>
            <w:shd w:val="clear" w:color="auto" w:fill="auto"/>
            <w:vAlign w:val="center"/>
          </w:tcPr>
          <w:p>
            <w:pPr>
              <w:spacing w:line="300" w:lineRule="exact"/>
              <w:jc w:val="left"/>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 w:hAnsi="仿宋" w:eastAsia="仿宋"/>
                <w:b/>
                <w:sz w:val="24"/>
                <w:szCs w:val="24"/>
              </w:rPr>
            </w:pPr>
            <w:r>
              <w:rPr>
                <w:rFonts w:hint="eastAsia" w:ascii="仿宋" w:hAnsi="仿宋" w:eastAsia="仿宋"/>
                <w:b/>
                <w:sz w:val="24"/>
                <w:szCs w:val="24"/>
              </w:rPr>
              <w:t>　　</w:t>
            </w:r>
            <w:r>
              <w:rPr>
                <w:rFonts w:ascii="仿宋" w:hAnsi="仿宋" w:eastAsia="仿宋"/>
                <w:b/>
                <w:sz w:val="24"/>
                <w:szCs w:val="24"/>
              </w:rPr>
              <w:t>1</w:t>
            </w:r>
            <w:r>
              <w:rPr>
                <w:rFonts w:hint="eastAsia" w:ascii="仿宋" w:hAnsi="仿宋" w:eastAsia="仿宋"/>
                <w:b/>
                <w:sz w:val="24"/>
                <w:szCs w:val="24"/>
              </w:rPr>
              <w:t>、农业土地治理</w:t>
            </w:r>
          </w:p>
        </w:tc>
        <w:tc>
          <w:tcPr>
            <w:tcW w:w="1276" w:type="dxa"/>
            <w:vMerge w:val="restart"/>
            <w:shd w:val="clear" w:color="auto" w:fill="auto"/>
            <w:vAlign w:val="center"/>
          </w:tcPr>
          <w:p>
            <w:pPr>
              <w:spacing w:line="300" w:lineRule="exact"/>
              <w:jc w:val="left"/>
              <w:rPr>
                <w:rFonts w:ascii="仿宋" w:hAnsi="仿宋" w:eastAsia="仿宋"/>
                <w:sz w:val="24"/>
                <w:szCs w:val="24"/>
              </w:rPr>
            </w:pPr>
          </w:p>
        </w:tc>
        <w:tc>
          <w:tcPr>
            <w:tcW w:w="2952" w:type="dxa"/>
            <w:vMerge w:val="restart"/>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落实农业综合开发土地治理项目管理办法、农业综合开发土地治理项目中长期规划和年度项目计划。</w:t>
            </w:r>
          </w:p>
        </w:tc>
        <w:tc>
          <w:tcPr>
            <w:tcW w:w="3000" w:type="dxa"/>
            <w:vMerge w:val="restart"/>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通过土地治理项目，有效改善农业生产条件和生态环境，提高农业综合生产能力</w:t>
            </w: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高标准农田项目建设完成率</w:t>
            </w:r>
          </w:p>
        </w:tc>
        <w:tc>
          <w:tcPr>
            <w:tcW w:w="737" w:type="dxa"/>
            <w:shd w:val="clear" w:color="auto" w:fill="auto"/>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95%</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sz w:val="24"/>
                <w:szCs w:val="24"/>
              </w:rPr>
            </w:pPr>
          </w:p>
        </w:tc>
        <w:tc>
          <w:tcPr>
            <w:tcW w:w="1276" w:type="dxa"/>
            <w:vMerge w:val="continue"/>
            <w:shd w:val="clear" w:color="auto" w:fill="auto"/>
            <w:vAlign w:val="center"/>
          </w:tcPr>
          <w:p>
            <w:pPr>
              <w:spacing w:line="300" w:lineRule="exact"/>
              <w:jc w:val="left"/>
              <w:rPr>
                <w:rFonts w:ascii="仿宋" w:hAnsi="仿宋" w:eastAsia="仿宋"/>
                <w:sz w:val="24"/>
                <w:szCs w:val="24"/>
              </w:rPr>
            </w:pPr>
          </w:p>
        </w:tc>
        <w:tc>
          <w:tcPr>
            <w:tcW w:w="2952" w:type="dxa"/>
            <w:vMerge w:val="continue"/>
            <w:shd w:val="clear" w:color="auto" w:fill="auto"/>
            <w:vAlign w:val="center"/>
          </w:tcPr>
          <w:p>
            <w:pPr>
              <w:spacing w:line="300" w:lineRule="exact"/>
              <w:jc w:val="left"/>
              <w:rPr>
                <w:rFonts w:ascii="仿宋" w:hAnsi="仿宋" w:eastAsia="仿宋"/>
                <w:sz w:val="24"/>
                <w:szCs w:val="24"/>
              </w:rPr>
            </w:pPr>
          </w:p>
        </w:tc>
        <w:tc>
          <w:tcPr>
            <w:tcW w:w="3000" w:type="dxa"/>
            <w:vMerge w:val="continue"/>
            <w:shd w:val="clear" w:color="auto" w:fill="auto"/>
            <w:vAlign w:val="center"/>
          </w:tcPr>
          <w:p>
            <w:pPr>
              <w:spacing w:line="300" w:lineRule="exact"/>
              <w:jc w:val="left"/>
              <w:rPr>
                <w:rFonts w:ascii="仿宋" w:hAnsi="仿宋" w:eastAsia="仿宋"/>
                <w:sz w:val="24"/>
                <w:szCs w:val="24"/>
              </w:rPr>
            </w:pP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创新试点项目建设完成率</w:t>
            </w:r>
          </w:p>
        </w:tc>
        <w:tc>
          <w:tcPr>
            <w:tcW w:w="737" w:type="dxa"/>
            <w:shd w:val="clear" w:color="auto" w:fill="auto"/>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95%</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24"/>
                <w:szCs w:val="24"/>
              </w:rPr>
            </w:pPr>
            <w:r>
              <w:rPr>
                <w:rFonts w:hint="eastAsia" w:ascii="仿宋" w:hAnsi="仿宋" w:eastAsia="仿宋"/>
                <w:b/>
                <w:sz w:val="24"/>
                <w:szCs w:val="24"/>
              </w:rPr>
              <w:t>八、产业化项目建设</w:t>
            </w:r>
          </w:p>
        </w:tc>
        <w:tc>
          <w:tcPr>
            <w:tcW w:w="1276" w:type="dxa"/>
            <w:shd w:val="clear" w:color="auto" w:fill="auto"/>
            <w:vAlign w:val="center"/>
          </w:tcPr>
          <w:p>
            <w:pPr>
              <w:spacing w:line="300" w:lineRule="exact"/>
              <w:jc w:val="left"/>
              <w:rPr>
                <w:rFonts w:ascii="仿宋" w:hAnsi="仿宋" w:eastAsia="仿宋"/>
                <w:sz w:val="24"/>
                <w:szCs w:val="24"/>
              </w:rPr>
            </w:pPr>
          </w:p>
        </w:tc>
        <w:tc>
          <w:tcPr>
            <w:tcW w:w="2952"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组织产业化项目前期考察，指导检查项目实施，组织项目验收。</w:t>
            </w:r>
          </w:p>
        </w:tc>
        <w:tc>
          <w:tcPr>
            <w:tcW w:w="3000"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通过产业化发展项目对企业及农民专业合作社的扶持，壮大企业及合作社规模，使企业及合作社带动贫困户脱贫效果明显。</w:t>
            </w:r>
          </w:p>
        </w:tc>
        <w:tc>
          <w:tcPr>
            <w:tcW w:w="1417" w:type="dxa"/>
            <w:shd w:val="clear" w:color="auto" w:fill="auto"/>
            <w:vAlign w:val="center"/>
          </w:tcPr>
          <w:p>
            <w:pPr>
              <w:spacing w:line="300" w:lineRule="exact"/>
              <w:jc w:val="left"/>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 w:hAnsi="仿宋" w:eastAsia="仿宋"/>
                <w:b/>
                <w:sz w:val="24"/>
                <w:szCs w:val="24"/>
              </w:rPr>
            </w:pPr>
            <w:r>
              <w:rPr>
                <w:rFonts w:hint="eastAsia" w:ascii="仿宋" w:hAnsi="仿宋" w:eastAsia="仿宋"/>
                <w:b/>
                <w:sz w:val="24"/>
                <w:szCs w:val="24"/>
              </w:rPr>
              <w:t>　　</w:t>
            </w:r>
            <w:r>
              <w:rPr>
                <w:rFonts w:ascii="仿宋" w:hAnsi="仿宋" w:eastAsia="仿宋"/>
                <w:b/>
                <w:sz w:val="24"/>
                <w:szCs w:val="24"/>
              </w:rPr>
              <w:t>1</w:t>
            </w:r>
            <w:r>
              <w:rPr>
                <w:rFonts w:hint="eastAsia" w:ascii="仿宋" w:hAnsi="仿宋" w:eastAsia="仿宋"/>
                <w:b/>
                <w:sz w:val="24"/>
                <w:szCs w:val="24"/>
              </w:rPr>
              <w:t>、产业化项目建设</w:t>
            </w:r>
          </w:p>
        </w:tc>
        <w:tc>
          <w:tcPr>
            <w:tcW w:w="1276" w:type="dxa"/>
            <w:vMerge w:val="restart"/>
            <w:shd w:val="clear" w:color="auto" w:fill="auto"/>
            <w:vAlign w:val="center"/>
          </w:tcPr>
          <w:p>
            <w:pPr>
              <w:spacing w:line="300" w:lineRule="exact"/>
              <w:jc w:val="left"/>
              <w:rPr>
                <w:rFonts w:ascii="仿宋" w:hAnsi="仿宋" w:eastAsia="仿宋"/>
                <w:sz w:val="24"/>
                <w:szCs w:val="24"/>
              </w:rPr>
            </w:pPr>
          </w:p>
        </w:tc>
        <w:tc>
          <w:tcPr>
            <w:tcW w:w="2952" w:type="dxa"/>
            <w:vMerge w:val="restart"/>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组织产业化项目前期考察，指导检查项目实施，组织项目验收。</w:t>
            </w:r>
          </w:p>
        </w:tc>
        <w:tc>
          <w:tcPr>
            <w:tcW w:w="3000" w:type="dxa"/>
            <w:vMerge w:val="restart"/>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通过产业化发展项目对企业及农民专业合作社的扶持，壮大企业及合作社规模，使企业及合作社带动贫困户脱贫效果明显。</w:t>
            </w: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项目验收通过率</w:t>
            </w:r>
          </w:p>
        </w:tc>
        <w:tc>
          <w:tcPr>
            <w:tcW w:w="737" w:type="dxa"/>
            <w:shd w:val="clear" w:color="auto" w:fill="auto"/>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c>
          <w:tcPr>
            <w:tcW w:w="737" w:type="dxa"/>
            <w:shd w:val="clear" w:color="auto" w:fill="auto"/>
            <w:vAlign w:val="center"/>
          </w:tcPr>
          <w:p>
            <w:pPr>
              <w:spacing w:line="300" w:lineRule="exact"/>
              <w:jc w:val="center"/>
              <w:rPr>
                <w:rFonts w:ascii="仿宋" w:hAnsi="仿宋" w:eastAsia="仿宋"/>
                <w:sz w:val="24"/>
                <w:szCs w:val="24"/>
              </w:rPr>
            </w:pPr>
            <w:r>
              <w:rPr>
                <w:rFonts w:ascii="仿宋" w:hAnsi="仿宋" w:eastAsia="仿宋"/>
                <w:sz w:val="24"/>
                <w:szCs w:val="24"/>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sz w:val="24"/>
                <w:szCs w:val="24"/>
              </w:rPr>
            </w:pPr>
          </w:p>
        </w:tc>
        <w:tc>
          <w:tcPr>
            <w:tcW w:w="1276" w:type="dxa"/>
            <w:vMerge w:val="continue"/>
            <w:shd w:val="clear" w:color="auto" w:fill="auto"/>
            <w:vAlign w:val="center"/>
          </w:tcPr>
          <w:p>
            <w:pPr>
              <w:spacing w:line="300" w:lineRule="exact"/>
              <w:jc w:val="left"/>
              <w:rPr>
                <w:rFonts w:ascii="仿宋" w:hAnsi="仿宋" w:eastAsia="仿宋"/>
                <w:sz w:val="24"/>
                <w:szCs w:val="24"/>
              </w:rPr>
            </w:pPr>
          </w:p>
        </w:tc>
        <w:tc>
          <w:tcPr>
            <w:tcW w:w="2952" w:type="dxa"/>
            <w:vMerge w:val="continue"/>
            <w:shd w:val="clear" w:color="auto" w:fill="auto"/>
            <w:vAlign w:val="center"/>
          </w:tcPr>
          <w:p>
            <w:pPr>
              <w:spacing w:line="300" w:lineRule="exact"/>
              <w:jc w:val="left"/>
              <w:rPr>
                <w:rFonts w:ascii="仿宋" w:hAnsi="仿宋" w:eastAsia="仿宋"/>
                <w:sz w:val="24"/>
                <w:szCs w:val="24"/>
              </w:rPr>
            </w:pPr>
          </w:p>
        </w:tc>
        <w:tc>
          <w:tcPr>
            <w:tcW w:w="3000" w:type="dxa"/>
            <w:vMerge w:val="continue"/>
            <w:shd w:val="clear" w:color="auto" w:fill="auto"/>
            <w:vAlign w:val="center"/>
          </w:tcPr>
          <w:p>
            <w:pPr>
              <w:spacing w:line="300" w:lineRule="exact"/>
              <w:jc w:val="left"/>
              <w:rPr>
                <w:rFonts w:ascii="仿宋" w:hAnsi="仿宋" w:eastAsia="仿宋"/>
                <w:sz w:val="24"/>
                <w:szCs w:val="24"/>
              </w:rPr>
            </w:pP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验收通过率</w:t>
            </w:r>
          </w:p>
        </w:tc>
        <w:tc>
          <w:tcPr>
            <w:tcW w:w="737" w:type="dxa"/>
            <w:shd w:val="clear" w:color="auto" w:fill="auto"/>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c>
          <w:tcPr>
            <w:tcW w:w="737" w:type="dxa"/>
            <w:shd w:val="clear" w:color="auto" w:fill="auto"/>
            <w:vAlign w:val="center"/>
          </w:tcPr>
          <w:p>
            <w:pPr>
              <w:spacing w:line="300" w:lineRule="exact"/>
              <w:jc w:val="center"/>
              <w:rPr>
                <w:rFonts w:ascii="仿宋" w:hAnsi="仿宋" w:eastAsia="仿宋"/>
                <w:sz w:val="24"/>
                <w:szCs w:val="24"/>
              </w:rPr>
            </w:pPr>
            <w:r>
              <w:rPr>
                <w:rFonts w:ascii="仿宋" w:hAnsi="仿宋" w:eastAsia="仿宋"/>
                <w:sz w:val="24"/>
                <w:szCs w:val="24"/>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sz w:val="24"/>
                <w:szCs w:val="24"/>
              </w:rPr>
            </w:pPr>
          </w:p>
        </w:tc>
        <w:tc>
          <w:tcPr>
            <w:tcW w:w="1276" w:type="dxa"/>
            <w:vMerge w:val="continue"/>
            <w:shd w:val="clear" w:color="auto" w:fill="auto"/>
            <w:vAlign w:val="center"/>
          </w:tcPr>
          <w:p>
            <w:pPr>
              <w:spacing w:line="300" w:lineRule="exact"/>
              <w:jc w:val="left"/>
              <w:rPr>
                <w:rFonts w:ascii="仿宋" w:hAnsi="仿宋" w:eastAsia="仿宋"/>
                <w:sz w:val="24"/>
                <w:szCs w:val="24"/>
              </w:rPr>
            </w:pPr>
          </w:p>
        </w:tc>
        <w:tc>
          <w:tcPr>
            <w:tcW w:w="2952" w:type="dxa"/>
            <w:vMerge w:val="continue"/>
            <w:shd w:val="clear" w:color="auto" w:fill="auto"/>
            <w:vAlign w:val="center"/>
          </w:tcPr>
          <w:p>
            <w:pPr>
              <w:spacing w:line="300" w:lineRule="exact"/>
              <w:jc w:val="left"/>
              <w:rPr>
                <w:rFonts w:ascii="仿宋" w:hAnsi="仿宋" w:eastAsia="仿宋"/>
                <w:sz w:val="24"/>
                <w:szCs w:val="24"/>
              </w:rPr>
            </w:pPr>
          </w:p>
        </w:tc>
        <w:tc>
          <w:tcPr>
            <w:tcW w:w="3000" w:type="dxa"/>
            <w:vMerge w:val="continue"/>
            <w:shd w:val="clear" w:color="auto" w:fill="auto"/>
            <w:vAlign w:val="center"/>
          </w:tcPr>
          <w:p>
            <w:pPr>
              <w:spacing w:line="300" w:lineRule="exact"/>
              <w:jc w:val="left"/>
              <w:rPr>
                <w:rFonts w:ascii="仿宋" w:hAnsi="仿宋" w:eastAsia="仿宋"/>
                <w:sz w:val="24"/>
                <w:szCs w:val="24"/>
              </w:rPr>
            </w:pP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完成报账率</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70%</w:t>
            </w:r>
          </w:p>
        </w:tc>
        <w:tc>
          <w:tcPr>
            <w:tcW w:w="737" w:type="dxa"/>
            <w:shd w:val="clear" w:color="auto" w:fill="auto"/>
            <w:vAlign w:val="center"/>
          </w:tcPr>
          <w:p>
            <w:pPr>
              <w:spacing w:line="300" w:lineRule="exact"/>
              <w:jc w:val="center"/>
              <w:rPr>
                <w:rFonts w:ascii="仿宋" w:hAnsi="仿宋" w:eastAsia="仿宋"/>
                <w:sz w:val="24"/>
                <w:szCs w:val="24"/>
              </w:rPr>
            </w:pPr>
            <w:r>
              <w:rPr>
                <w:rFonts w:ascii="仿宋" w:hAnsi="仿宋" w:eastAsia="仿宋"/>
                <w:sz w:val="24"/>
                <w:szCs w:val="24"/>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24"/>
                <w:szCs w:val="24"/>
              </w:rPr>
            </w:pPr>
            <w:r>
              <w:rPr>
                <w:rFonts w:hint="eastAsia" w:ascii="仿宋" w:hAnsi="仿宋" w:eastAsia="仿宋"/>
                <w:b/>
                <w:sz w:val="24"/>
                <w:szCs w:val="24"/>
              </w:rPr>
              <w:t>九、农业开发项目工程监督与评价</w:t>
            </w:r>
          </w:p>
        </w:tc>
        <w:tc>
          <w:tcPr>
            <w:tcW w:w="1276" w:type="dxa"/>
            <w:shd w:val="clear" w:color="auto" w:fill="auto"/>
            <w:vAlign w:val="center"/>
          </w:tcPr>
          <w:p>
            <w:pPr>
              <w:spacing w:line="300" w:lineRule="exact"/>
              <w:jc w:val="left"/>
              <w:rPr>
                <w:rFonts w:ascii="仿宋" w:hAnsi="仿宋" w:eastAsia="仿宋"/>
                <w:sz w:val="24"/>
                <w:szCs w:val="24"/>
              </w:rPr>
            </w:pPr>
          </w:p>
        </w:tc>
        <w:tc>
          <w:tcPr>
            <w:tcW w:w="2952"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农业综合开发绩效评价工作</w:t>
            </w:r>
            <w:r>
              <w:rPr>
                <w:rFonts w:ascii="仿宋" w:hAnsi="仿宋" w:eastAsia="仿宋"/>
                <w:sz w:val="24"/>
                <w:szCs w:val="24"/>
              </w:rPr>
              <w:t>,</w:t>
            </w:r>
            <w:r>
              <w:rPr>
                <w:rFonts w:hint="eastAsia" w:ascii="仿宋" w:hAnsi="仿宋" w:eastAsia="仿宋"/>
                <w:sz w:val="24"/>
                <w:szCs w:val="24"/>
              </w:rPr>
              <w:t>负责项目的监督和竣工验收</w:t>
            </w:r>
          </w:p>
        </w:tc>
        <w:tc>
          <w:tcPr>
            <w:tcW w:w="3000"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提高我县农业开发综合质量和农业生产能力</w:t>
            </w:r>
            <w:r>
              <w:rPr>
                <w:rFonts w:ascii="仿宋" w:hAnsi="仿宋" w:eastAsia="仿宋"/>
                <w:sz w:val="24"/>
                <w:szCs w:val="24"/>
              </w:rPr>
              <w:t>,</w:t>
            </w:r>
            <w:r>
              <w:rPr>
                <w:rFonts w:hint="eastAsia" w:ascii="仿宋" w:hAnsi="仿宋" w:eastAsia="仿宋"/>
                <w:sz w:val="24"/>
                <w:szCs w:val="24"/>
              </w:rPr>
              <w:t>增加项目区农民收入</w:t>
            </w:r>
          </w:p>
        </w:tc>
        <w:tc>
          <w:tcPr>
            <w:tcW w:w="1417" w:type="dxa"/>
            <w:shd w:val="clear" w:color="auto" w:fill="auto"/>
            <w:vAlign w:val="center"/>
          </w:tcPr>
          <w:p>
            <w:pPr>
              <w:spacing w:line="300" w:lineRule="exact"/>
              <w:jc w:val="left"/>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c>
          <w:tcPr>
            <w:tcW w:w="737" w:type="dxa"/>
            <w:shd w:val="clear" w:color="auto" w:fill="auto"/>
            <w:vAlign w:val="center"/>
          </w:tcPr>
          <w:p>
            <w:pPr>
              <w:spacing w:line="30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 w:hAnsi="仿宋" w:eastAsia="仿宋"/>
                <w:b/>
                <w:sz w:val="24"/>
                <w:szCs w:val="24"/>
              </w:rPr>
            </w:pPr>
            <w:r>
              <w:rPr>
                <w:rFonts w:hint="eastAsia" w:ascii="仿宋" w:hAnsi="仿宋" w:eastAsia="仿宋"/>
                <w:b/>
                <w:sz w:val="24"/>
                <w:szCs w:val="24"/>
              </w:rPr>
              <w:t>　　</w:t>
            </w:r>
            <w:r>
              <w:rPr>
                <w:rFonts w:ascii="仿宋" w:hAnsi="仿宋" w:eastAsia="仿宋"/>
                <w:b/>
                <w:sz w:val="24"/>
                <w:szCs w:val="24"/>
              </w:rPr>
              <w:t>1</w:t>
            </w:r>
            <w:r>
              <w:rPr>
                <w:rFonts w:hint="eastAsia" w:ascii="仿宋" w:hAnsi="仿宋" w:eastAsia="仿宋"/>
                <w:b/>
                <w:sz w:val="24"/>
                <w:szCs w:val="24"/>
              </w:rPr>
              <w:t>、农业开发项目工程监督与评价</w:t>
            </w:r>
          </w:p>
        </w:tc>
        <w:tc>
          <w:tcPr>
            <w:tcW w:w="1276" w:type="dxa"/>
            <w:vMerge w:val="restart"/>
            <w:shd w:val="clear" w:color="auto" w:fill="auto"/>
            <w:vAlign w:val="center"/>
          </w:tcPr>
          <w:p>
            <w:pPr>
              <w:spacing w:line="300" w:lineRule="exact"/>
              <w:jc w:val="left"/>
              <w:rPr>
                <w:rFonts w:ascii="仿宋" w:hAnsi="仿宋" w:eastAsia="仿宋"/>
                <w:sz w:val="24"/>
                <w:szCs w:val="24"/>
              </w:rPr>
            </w:pPr>
          </w:p>
        </w:tc>
        <w:tc>
          <w:tcPr>
            <w:tcW w:w="2952" w:type="dxa"/>
            <w:vMerge w:val="restart"/>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农业综合开发绩效评价工作</w:t>
            </w:r>
            <w:r>
              <w:rPr>
                <w:rFonts w:ascii="仿宋" w:hAnsi="仿宋" w:eastAsia="仿宋"/>
                <w:sz w:val="24"/>
                <w:szCs w:val="24"/>
              </w:rPr>
              <w:t>,</w:t>
            </w:r>
            <w:r>
              <w:rPr>
                <w:rFonts w:hint="eastAsia" w:ascii="仿宋" w:hAnsi="仿宋" w:eastAsia="仿宋"/>
                <w:sz w:val="24"/>
                <w:szCs w:val="24"/>
              </w:rPr>
              <w:t>负责项目的监督和竣工验收</w:t>
            </w:r>
          </w:p>
        </w:tc>
        <w:tc>
          <w:tcPr>
            <w:tcW w:w="3000" w:type="dxa"/>
            <w:vMerge w:val="restart"/>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提高我县农业开发综合质量和农业生产能力</w:t>
            </w:r>
            <w:r>
              <w:rPr>
                <w:rFonts w:ascii="仿宋" w:hAnsi="仿宋" w:eastAsia="仿宋"/>
                <w:sz w:val="24"/>
                <w:szCs w:val="24"/>
              </w:rPr>
              <w:t>,</w:t>
            </w:r>
            <w:r>
              <w:rPr>
                <w:rFonts w:hint="eastAsia" w:ascii="仿宋" w:hAnsi="仿宋" w:eastAsia="仿宋"/>
                <w:sz w:val="24"/>
                <w:szCs w:val="24"/>
              </w:rPr>
              <w:t>增加项目区农民收入</w:t>
            </w: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项目的监督率</w:t>
            </w:r>
          </w:p>
        </w:tc>
        <w:tc>
          <w:tcPr>
            <w:tcW w:w="737" w:type="dxa"/>
            <w:shd w:val="clear" w:color="auto" w:fill="auto"/>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c>
          <w:tcPr>
            <w:tcW w:w="737" w:type="dxa"/>
            <w:shd w:val="clear" w:color="auto" w:fill="auto"/>
            <w:vAlign w:val="center"/>
          </w:tcPr>
          <w:p>
            <w:pPr>
              <w:spacing w:line="300" w:lineRule="exact"/>
              <w:jc w:val="center"/>
              <w:rPr>
                <w:rFonts w:ascii="仿宋" w:hAnsi="仿宋" w:eastAsia="仿宋"/>
                <w:sz w:val="24"/>
                <w:szCs w:val="24"/>
              </w:rPr>
            </w:pPr>
            <w:r>
              <w:rPr>
                <w:rFonts w:ascii="仿宋" w:hAnsi="仿宋" w:eastAsia="仿宋"/>
                <w:sz w:val="24"/>
                <w:szCs w:val="24"/>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sz w:val="24"/>
                <w:szCs w:val="24"/>
              </w:rPr>
            </w:pPr>
          </w:p>
        </w:tc>
        <w:tc>
          <w:tcPr>
            <w:tcW w:w="1276" w:type="dxa"/>
            <w:vMerge w:val="continue"/>
            <w:shd w:val="clear" w:color="auto" w:fill="auto"/>
            <w:vAlign w:val="center"/>
          </w:tcPr>
          <w:p>
            <w:pPr>
              <w:spacing w:line="300" w:lineRule="exact"/>
              <w:jc w:val="left"/>
              <w:rPr>
                <w:rFonts w:ascii="仿宋" w:hAnsi="仿宋" w:eastAsia="仿宋"/>
                <w:sz w:val="24"/>
                <w:szCs w:val="24"/>
              </w:rPr>
            </w:pPr>
          </w:p>
        </w:tc>
        <w:tc>
          <w:tcPr>
            <w:tcW w:w="2952" w:type="dxa"/>
            <w:vMerge w:val="continue"/>
            <w:shd w:val="clear" w:color="auto" w:fill="auto"/>
            <w:vAlign w:val="center"/>
          </w:tcPr>
          <w:p>
            <w:pPr>
              <w:spacing w:line="300" w:lineRule="exact"/>
              <w:jc w:val="left"/>
              <w:rPr>
                <w:rFonts w:ascii="仿宋" w:hAnsi="仿宋" w:eastAsia="仿宋"/>
                <w:sz w:val="24"/>
                <w:szCs w:val="24"/>
              </w:rPr>
            </w:pPr>
          </w:p>
        </w:tc>
        <w:tc>
          <w:tcPr>
            <w:tcW w:w="3000" w:type="dxa"/>
            <w:vMerge w:val="continue"/>
            <w:shd w:val="clear" w:color="auto" w:fill="auto"/>
            <w:vAlign w:val="center"/>
          </w:tcPr>
          <w:p>
            <w:pPr>
              <w:spacing w:line="300" w:lineRule="exact"/>
              <w:jc w:val="left"/>
              <w:rPr>
                <w:rFonts w:ascii="仿宋" w:hAnsi="仿宋" w:eastAsia="仿宋"/>
                <w:sz w:val="24"/>
                <w:szCs w:val="24"/>
              </w:rPr>
            </w:pP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项目竣工验收率</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70%</w:t>
            </w:r>
          </w:p>
        </w:tc>
        <w:tc>
          <w:tcPr>
            <w:tcW w:w="737" w:type="dxa"/>
            <w:shd w:val="clear" w:color="auto" w:fill="auto"/>
            <w:vAlign w:val="center"/>
          </w:tcPr>
          <w:p>
            <w:pPr>
              <w:spacing w:line="300" w:lineRule="exact"/>
              <w:jc w:val="center"/>
              <w:rPr>
                <w:rFonts w:ascii="仿宋" w:hAnsi="仿宋" w:eastAsia="仿宋"/>
                <w:sz w:val="24"/>
                <w:szCs w:val="24"/>
              </w:rPr>
            </w:pPr>
            <w:r>
              <w:rPr>
                <w:rFonts w:ascii="仿宋" w:hAnsi="仿宋" w:eastAsia="仿宋"/>
                <w:sz w:val="24"/>
                <w:szCs w:val="24"/>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sz w:val="24"/>
                <w:szCs w:val="24"/>
              </w:rPr>
            </w:pPr>
          </w:p>
        </w:tc>
        <w:tc>
          <w:tcPr>
            <w:tcW w:w="1276" w:type="dxa"/>
            <w:vMerge w:val="continue"/>
            <w:shd w:val="clear" w:color="auto" w:fill="auto"/>
            <w:vAlign w:val="center"/>
          </w:tcPr>
          <w:p>
            <w:pPr>
              <w:spacing w:line="300" w:lineRule="exact"/>
              <w:jc w:val="left"/>
              <w:rPr>
                <w:rFonts w:ascii="仿宋" w:hAnsi="仿宋" w:eastAsia="仿宋"/>
                <w:sz w:val="24"/>
                <w:szCs w:val="24"/>
              </w:rPr>
            </w:pPr>
          </w:p>
        </w:tc>
        <w:tc>
          <w:tcPr>
            <w:tcW w:w="2952" w:type="dxa"/>
            <w:vMerge w:val="continue"/>
            <w:shd w:val="clear" w:color="auto" w:fill="auto"/>
            <w:vAlign w:val="center"/>
          </w:tcPr>
          <w:p>
            <w:pPr>
              <w:spacing w:line="300" w:lineRule="exact"/>
              <w:jc w:val="left"/>
              <w:rPr>
                <w:rFonts w:ascii="仿宋" w:hAnsi="仿宋" w:eastAsia="仿宋"/>
                <w:sz w:val="24"/>
                <w:szCs w:val="24"/>
              </w:rPr>
            </w:pPr>
          </w:p>
        </w:tc>
        <w:tc>
          <w:tcPr>
            <w:tcW w:w="3000" w:type="dxa"/>
            <w:vMerge w:val="continue"/>
            <w:shd w:val="clear" w:color="auto" w:fill="auto"/>
            <w:vAlign w:val="center"/>
          </w:tcPr>
          <w:p>
            <w:pPr>
              <w:spacing w:line="300" w:lineRule="exact"/>
              <w:jc w:val="left"/>
              <w:rPr>
                <w:rFonts w:ascii="仿宋" w:hAnsi="仿宋" w:eastAsia="仿宋"/>
                <w:sz w:val="24"/>
                <w:szCs w:val="24"/>
              </w:rPr>
            </w:pPr>
          </w:p>
        </w:tc>
        <w:tc>
          <w:tcPr>
            <w:tcW w:w="1417"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农业综合开发绩效评价工作率</w:t>
            </w:r>
          </w:p>
        </w:tc>
        <w:tc>
          <w:tcPr>
            <w:tcW w:w="737" w:type="dxa"/>
            <w:shd w:val="clear" w:color="auto" w:fill="auto"/>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737"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p>
        </w:tc>
        <w:tc>
          <w:tcPr>
            <w:tcW w:w="737" w:type="dxa"/>
            <w:shd w:val="clear" w:color="auto" w:fill="auto"/>
            <w:vAlign w:val="center"/>
          </w:tcPr>
          <w:p>
            <w:pPr>
              <w:spacing w:line="300" w:lineRule="exact"/>
              <w:jc w:val="center"/>
              <w:rPr>
                <w:rFonts w:ascii="仿宋" w:hAnsi="仿宋" w:eastAsia="仿宋"/>
                <w:sz w:val="24"/>
                <w:szCs w:val="24"/>
              </w:rPr>
            </w:pPr>
            <w:r>
              <w:rPr>
                <w:rFonts w:ascii="仿宋" w:hAnsi="仿宋" w:eastAsia="仿宋"/>
                <w:sz w:val="24"/>
                <w:szCs w:val="24"/>
              </w:rPr>
              <w:t>&lt;80%</w:t>
            </w:r>
          </w:p>
        </w:tc>
      </w:tr>
    </w:tbl>
    <w:p>
      <w:pPr>
        <w:autoSpaceDE w:val="0"/>
        <w:autoSpaceDN w:val="0"/>
        <w:adjustRightInd w:val="0"/>
        <w:ind w:firstLine="643" w:firstLineChars="200"/>
        <w:jc w:val="left"/>
        <w:rPr>
          <w:rFonts w:ascii="Times New Roman" w:hAnsi="Times New Roman" w:eastAsia="黑体" w:cs="Times New Roman"/>
          <w:b/>
          <w:sz w:val="32"/>
          <w:szCs w:val="32"/>
        </w:rPr>
      </w:pPr>
      <w:r>
        <w:rPr>
          <w:rFonts w:ascii="Times New Roman" w:hAnsi="Times New Roman" w:eastAsia="黑体" w:cs="Times New Roman"/>
          <w:b/>
          <w:sz w:val="32"/>
          <w:szCs w:val="32"/>
        </w:rPr>
        <w:t>六、政府采购预算情况</w:t>
      </w:r>
    </w:p>
    <w:p>
      <w:pPr>
        <w:autoSpaceDE w:val="0"/>
        <w:autoSpaceDN w:val="0"/>
        <w:adjustRightInd w:val="0"/>
        <w:ind w:firstLine="640" w:firstLineChars="200"/>
        <w:jc w:val="left"/>
        <w:rPr>
          <w:rFonts w:ascii="仿宋" w:hAnsi="仿宋" w:eastAsia="仿宋" w:cs="Times New Roman"/>
          <w:sz w:val="32"/>
          <w:szCs w:val="24"/>
        </w:rPr>
      </w:pPr>
      <w:bookmarkStart w:id="2" w:name="_Toc471398468"/>
      <w:r>
        <w:rPr>
          <w:rFonts w:ascii="仿宋" w:hAnsi="仿宋" w:eastAsia="仿宋" w:cs="Times New Roman"/>
          <w:sz w:val="32"/>
          <w:szCs w:val="24"/>
        </w:rPr>
        <w:t>2019年，我单位安排政府采购预算0万元。</w:t>
      </w:r>
      <w:bookmarkEnd w:id="2"/>
    </w:p>
    <w:p>
      <w:pPr>
        <w:autoSpaceDE w:val="0"/>
        <w:autoSpaceDN w:val="0"/>
        <w:adjustRightInd w:val="0"/>
        <w:ind w:firstLine="643" w:firstLineChars="200"/>
        <w:jc w:val="left"/>
        <w:rPr>
          <w:rFonts w:ascii="Times New Roman" w:hAnsi="Times New Roman" w:eastAsia="黑体" w:cs="Times New Roman"/>
          <w:b/>
          <w:sz w:val="32"/>
          <w:szCs w:val="32"/>
        </w:rPr>
      </w:pPr>
      <w:r>
        <w:rPr>
          <w:rFonts w:ascii="Times New Roman" w:hAnsi="Times New Roman" w:eastAsia="黑体" w:cs="Times New Roman"/>
          <w:b/>
          <w:sz w:val="32"/>
          <w:szCs w:val="32"/>
        </w:rPr>
        <w:t>七、国有资产信息</w:t>
      </w:r>
    </w:p>
    <w:p>
      <w:pPr>
        <w:ind w:firstLine="640" w:firstLineChars="200"/>
        <w:rPr>
          <w:rFonts w:ascii="仿宋" w:hAnsi="仿宋" w:eastAsia="仿宋" w:cs="Times New Roman"/>
          <w:sz w:val="32"/>
          <w:szCs w:val="32"/>
        </w:rPr>
      </w:pPr>
      <w:r>
        <w:rPr>
          <w:rFonts w:ascii="仿宋" w:hAnsi="仿宋" w:eastAsia="仿宋" w:cs="Times New Roman"/>
          <w:sz w:val="32"/>
          <w:szCs w:val="32"/>
        </w:rPr>
        <w:t>丰宁县扶贫和农业开发办公室上年末固定资产金额为329</w:t>
      </w:r>
      <w:r>
        <w:rPr>
          <w:rFonts w:hint="eastAsia" w:ascii="仿宋" w:hAnsi="仿宋" w:eastAsia="仿宋" w:cs="Times New Roman"/>
          <w:sz w:val="32"/>
          <w:szCs w:val="32"/>
        </w:rPr>
        <w:t>.75</w:t>
      </w:r>
      <w:r>
        <w:rPr>
          <w:rFonts w:ascii="仿宋" w:hAnsi="仿宋" w:eastAsia="仿宋" w:cs="Times New Roman"/>
          <w:sz w:val="32"/>
          <w:szCs w:val="32"/>
        </w:rPr>
        <w:t>万元（详见下表），本年度各单位拟购置固定资产总额为0万元。</w:t>
      </w:r>
    </w:p>
    <w:tbl>
      <w:tblPr>
        <w:tblStyle w:val="11"/>
        <w:tblW w:w="13482" w:type="dxa"/>
        <w:jc w:val="center"/>
        <w:tblInd w:w="0"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jc w:val="center"/>
        </w:trPr>
        <w:tc>
          <w:tcPr>
            <w:tcW w:w="13482" w:type="dxa"/>
            <w:gridSpan w:val="3"/>
            <w:tcBorders>
              <w:top w:val="nil"/>
              <w:left w:val="nil"/>
              <w:bottom w:val="nil"/>
              <w:right w:val="nil"/>
            </w:tcBorders>
            <w:shd w:val="clear" w:color="auto" w:fill="auto"/>
            <w:vAlign w:val="center"/>
          </w:tcPr>
          <w:p>
            <w:pPr>
              <w:widowControl/>
              <w:jc w:val="center"/>
              <w:rPr>
                <w:rFonts w:ascii="黑体" w:hAnsi="黑体" w:eastAsia="黑体" w:cs="Times New Roman"/>
                <w:b/>
                <w:bCs/>
                <w:kern w:val="0"/>
                <w:sz w:val="24"/>
                <w:szCs w:val="24"/>
              </w:rPr>
            </w:pPr>
            <w:r>
              <w:rPr>
                <w:rFonts w:ascii="黑体" w:hAnsi="黑体" w:eastAsia="黑体" w:cs="Times New Roman"/>
                <w:b/>
                <w:bCs/>
                <w:kern w:val="0"/>
                <w:sz w:val="24"/>
                <w:szCs w:val="24"/>
              </w:rPr>
              <w:t>固定资产占用情况表</w:t>
            </w:r>
          </w:p>
        </w:tc>
      </w:tr>
      <w:tr>
        <w:tblPrEx>
          <w:tblLayout w:type="fixed"/>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shd w:val="clear" w:color="auto" w:fill="auto"/>
            <w:vAlign w:val="center"/>
          </w:tcPr>
          <w:p>
            <w:pPr>
              <w:widowControl/>
              <w:jc w:val="left"/>
              <w:rPr>
                <w:rFonts w:ascii="仿宋" w:hAnsi="仿宋" w:eastAsia="仿宋" w:cs="Times New Roman"/>
                <w:kern w:val="0"/>
                <w:sz w:val="24"/>
                <w:szCs w:val="24"/>
              </w:rPr>
            </w:pPr>
            <w:r>
              <w:rPr>
                <w:rFonts w:ascii="仿宋" w:hAnsi="仿宋" w:eastAsia="仿宋" w:cs="Times New Roman"/>
                <w:kern w:val="0"/>
                <w:sz w:val="24"/>
                <w:szCs w:val="24"/>
              </w:rPr>
              <w:t>编制部门：丰宁</w:t>
            </w:r>
            <w:r>
              <w:rPr>
                <w:rFonts w:hint="eastAsia" w:ascii="仿宋" w:hAnsi="仿宋" w:eastAsia="仿宋" w:cs="Times New Roman"/>
                <w:kern w:val="0"/>
                <w:sz w:val="24"/>
                <w:szCs w:val="24"/>
              </w:rPr>
              <w:t>满族自治</w:t>
            </w:r>
            <w:r>
              <w:rPr>
                <w:rFonts w:ascii="仿宋" w:hAnsi="仿宋" w:eastAsia="仿宋" w:cs="Times New Roman"/>
                <w:kern w:val="0"/>
                <w:sz w:val="24"/>
                <w:szCs w:val="24"/>
              </w:rPr>
              <w:t>县扶贫和农业开发办公室</w:t>
            </w:r>
          </w:p>
        </w:tc>
        <w:tc>
          <w:tcPr>
            <w:tcW w:w="5103" w:type="dxa"/>
            <w:tcBorders>
              <w:top w:val="nil"/>
              <w:left w:val="nil"/>
              <w:bottom w:val="nil"/>
              <w:right w:val="nil"/>
            </w:tcBorders>
            <w:shd w:val="clear" w:color="auto" w:fill="auto"/>
            <w:vAlign w:val="center"/>
          </w:tcPr>
          <w:p>
            <w:pPr>
              <w:widowControl/>
              <w:jc w:val="left"/>
              <w:rPr>
                <w:rFonts w:ascii="仿宋" w:hAnsi="仿宋" w:eastAsia="仿宋" w:cs="Times New Roman"/>
                <w:kern w:val="0"/>
                <w:sz w:val="24"/>
                <w:szCs w:val="24"/>
              </w:rPr>
            </w:pPr>
            <w:r>
              <w:rPr>
                <w:rFonts w:ascii="仿宋" w:hAnsi="仿宋" w:eastAsia="仿宋" w:cs="Times New Roman"/>
                <w:kern w:val="0"/>
                <w:sz w:val="24"/>
                <w:szCs w:val="24"/>
              </w:rPr>
              <w:t>截止时间：201</w:t>
            </w:r>
            <w:r>
              <w:rPr>
                <w:rFonts w:hint="eastAsia" w:ascii="仿宋" w:hAnsi="仿宋" w:eastAsia="仿宋" w:cs="Times New Roman"/>
                <w:kern w:val="0"/>
                <w:sz w:val="24"/>
                <w:szCs w:val="24"/>
              </w:rPr>
              <w:t>8</w:t>
            </w:r>
            <w:r>
              <w:rPr>
                <w:rFonts w:ascii="仿宋" w:hAnsi="仿宋" w:eastAsia="仿宋" w:cs="Times New Roman"/>
                <w:kern w:val="0"/>
                <w:sz w:val="24"/>
                <w:szCs w:val="24"/>
              </w:rPr>
              <w:t xml:space="preserve">年12月31日  </w:t>
            </w:r>
          </w:p>
        </w:tc>
      </w:tr>
      <w:tr>
        <w:tblPrEx>
          <w:tblLayout w:type="fixed"/>
          <w:tblCellMar>
            <w:top w:w="0" w:type="dxa"/>
            <w:left w:w="108" w:type="dxa"/>
            <w:bottom w:w="0" w:type="dxa"/>
            <w:right w:w="108" w:type="dxa"/>
          </w:tblCellMar>
        </w:tblPrEx>
        <w:trPr>
          <w:trHeight w:val="645" w:hRule="atLeast"/>
          <w:jc w:val="center"/>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b/>
                <w:bCs/>
                <w:kern w:val="0"/>
                <w:sz w:val="24"/>
                <w:szCs w:val="24"/>
              </w:rPr>
            </w:pPr>
            <w:r>
              <w:rPr>
                <w:rFonts w:ascii="仿宋" w:hAnsi="仿宋" w:eastAsia="仿宋" w:cs="Times New Roman"/>
                <w:b/>
                <w:bCs/>
                <w:kern w:val="0"/>
                <w:sz w:val="24"/>
                <w:szCs w:val="24"/>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b/>
                <w:bCs/>
                <w:kern w:val="0"/>
                <w:sz w:val="24"/>
                <w:szCs w:val="24"/>
              </w:rPr>
            </w:pPr>
            <w:r>
              <w:rPr>
                <w:rFonts w:ascii="仿宋" w:hAnsi="仿宋" w:eastAsia="仿宋" w:cs="Times New Roman"/>
                <w:b/>
                <w:bCs/>
                <w:kern w:val="0"/>
                <w:sz w:val="24"/>
                <w:szCs w:val="24"/>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b/>
                <w:bCs/>
                <w:kern w:val="0"/>
                <w:sz w:val="24"/>
                <w:szCs w:val="24"/>
              </w:rPr>
            </w:pPr>
            <w:r>
              <w:rPr>
                <w:rFonts w:ascii="仿宋" w:hAnsi="仿宋" w:eastAsia="仿宋" w:cs="Times New Roman"/>
                <w:b/>
                <w:bCs/>
                <w:kern w:val="0"/>
                <w:sz w:val="24"/>
                <w:szCs w:val="24"/>
              </w:rPr>
              <w:t>价值（金额单位：万元）</w:t>
            </w: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kern w:val="0"/>
                <w:sz w:val="24"/>
                <w:szCs w:val="24"/>
              </w:rPr>
            </w:pPr>
            <w:r>
              <w:rPr>
                <w:rFonts w:ascii="仿宋" w:hAnsi="仿宋" w:eastAsia="仿宋" w:cs="Times New Roman"/>
                <w:kern w:val="0"/>
                <w:sz w:val="24"/>
                <w:szCs w:val="24"/>
              </w:rPr>
              <w:t>资产总额</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kern w:val="0"/>
                <w:sz w:val="24"/>
                <w:szCs w:val="24"/>
              </w:rPr>
            </w:pPr>
            <w:r>
              <w:rPr>
                <w:rFonts w:ascii="仿宋" w:hAnsi="仿宋" w:eastAsia="仿宋" w:cs="Times New Roman"/>
                <w:kern w:val="0"/>
                <w:sz w:val="24"/>
                <w:szCs w:val="24"/>
              </w:rPr>
              <w:t>——</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kern w:val="0"/>
                <w:sz w:val="24"/>
                <w:szCs w:val="24"/>
              </w:rPr>
            </w:pPr>
            <w:r>
              <w:rPr>
                <w:rFonts w:ascii="仿宋" w:hAnsi="仿宋" w:eastAsia="仿宋" w:cs="Times New Roman"/>
                <w:kern w:val="0"/>
                <w:sz w:val="24"/>
                <w:szCs w:val="24"/>
              </w:rPr>
              <w:t>329</w:t>
            </w:r>
            <w:r>
              <w:rPr>
                <w:rFonts w:hint="eastAsia" w:ascii="仿宋" w:hAnsi="仿宋" w:eastAsia="仿宋" w:cs="Times New Roman"/>
                <w:kern w:val="0"/>
                <w:sz w:val="24"/>
                <w:szCs w:val="24"/>
              </w:rPr>
              <w:t>.75</w:t>
            </w: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Times New Roman"/>
                <w:kern w:val="0"/>
                <w:sz w:val="24"/>
                <w:szCs w:val="24"/>
              </w:rPr>
            </w:pPr>
            <w:r>
              <w:rPr>
                <w:rFonts w:ascii="仿宋" w:hAnsi="仿宋" w:eastAsia="仿宋" w:cs="Times New Roman"/>
                <w:kern w:val="0"/>
                <w:sz w:val="24"/>
                <w:szCs w:val="24"/>
              </w:rPr>
              <w:t>1、房屋（平方米）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kern w:val="0"/>
                <w:sz w:val="24"/>
                <w:szCs w:val="24"/>
              </w:rPr>
            </w:pPr>
            <w:r>
              <w:rPr>
                <w:rFonts w:ascii="仿宋" w:hAnsi="仿宋" w:eastAsia="仿宋" w:cs="Times New Roman"/>
                <w:kern w:val="0"/>
                <w:sz w:val="24"/>
                <w:szCs w:val="24"/>
              </w:rPr>
              <w:t>1449</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kern w:val="0"/>
                <w:sz w:val="24"/>
                <w:szCs w:val="24"/>
              </w:rPr>
            </w:pPr>
            <w:r>
              <w:rPr>
                <w:rFonts w:ascii="仿宋" w:hAnsi="仿宋" w:eastAsia="仿宋" w:cs="Times New Roman"/>
                <w:kern w:val="0"/>
                <w:sz w:val="24"/>
                <w:szCs w:val="24"/>
              </w:rPr>
              <w:t>2</w:t>
            </w:r>
            <w:r>
              <w:rPr>
                <w:rFonts w:hint="eastAsia" w:ascii="仿宋" w:hAnsi="仿宋" w:eastAsia="仿宋" w:cs="Times New Roman"/>
                <w:kern w:val="0"/>
                <w:sz w:val="24"/>
                <w:szCs w:val="24"/>
              </w:rPr>
              <w:t>3</w:t>
            </w:r>
            <w:r>
              <w:rPr>
                <w:rFonts w:ascii="仿宋" w:hAnsi="仿宋" w:eastAsia="仿宋" w:cs="Times New Roman"/>
                <w:kern w:val="0"/>
                <w:sz w:val="24"/>
                <w:szCs w:val="24"/>
              </w:rPr>
              <w:t>1</w:t>
            </w:r>
            <w:r>
              <w:rPr>
                <w:rFonts w:hint="eastAsia" w:ascii="仿宋" w:hAnsi="仿宋" w:eastAsia="仿宋" w:cs="Times New Roman"/>
                <w:kern w:val="0"/>
                <w:sz w:val="24"/>
                <w:szCs w:val="24"/>
              </w:rPr>
              <w:t>.38</w:t>
            </w: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Times New Roman"/>
                <w:kern w:val="0"/>
                <w:sz w:val="24"/>
                <w:szCs w:val="24"/>
              </w:rPr>
            </w:pPr>
            <w:r>
              <w:rPr>
                <w:rFonts w:ascii="仿宋" w:hAnsi="仿宋" w:eastAsia="仿宋" w:cs="Times New Roman"/>
                <w:kern w:val="0"/>
                <w:sz w:val="24"/>
                <w:szCs w:val="24"/>
              </w:rPr>
              <w:t xml:space="preserve">   其中：办公用房（平方米）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kern w:val="0"/>
                <w:sz w:val="24"/>
                <w:szCs w:val="24"/>
              </w:rPr>
            </w:pPr>
            <w:r>
              <w:rPr>
                <w:rFonts w:ascii="仿宋" w:hAnsi="仿宋" w:eastAsia="仿宋" w:cs="Times New Roman"/>
                <w:kern w:val="0"/>
                <w:sz w:val="24"/>
                <w:szCs w:val="24"/>
              </w:rPr>
              <w:t>1449</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kern w:val="0"/>
                <w:sz w:val="24"/>
                <w:szCs w:val="24"/>
              </w:rPr>
            </w:pPr>
            <w:r>
              <w:rPr>
                <w:rFonts w:ascii="仿宋" w:hAnsi="仿宋" w:eastAsia="仿宋" w:cs="Times New Roman"/>
                <w:kern w:val="0"/>
                <w:sz w:val="24"/>
                <w:szCs w:val="24"/>
              </w:rPr>
              <w:t>2</w:t>
            </w:r>
            <w:r>
              <w:rPr>
                <w:rFonts w:hint="eastAsia" w:ascii="仿宋" w:hAnsi="仿宋" w:eastAsia="仿宋" w:cs="Times New Roman"/>
                <w:kern w:val="0"/>
                <w:sz w:val="24"/>
                <w:szCs w:val="24"/>
              </w:rPr>
              <w:t>31.38</w:t>
            </w: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Times New Roman"/>
                <w:kern w:val="0"/>
                <w:sz w:val="24"/>
                <w:szCs w:val="24"/>
              </w:rPr>
            </w:pPr>
            <w:r>
              <w:rPr>
                <w:rFonts w:ascii="仿宋" w:hAnsi="仿宋" w:eastAsia="仿宋" w:cs="Times New Roman"/>
                <w:kern w:val="0"/>
                <w:sz w:val="24"/>
                <w:szCs w:val="24"/>
              </w:rPr>
              <w:t>2、车辆（台、辆）</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kern w:val="0"/>
                <w:sz w:val="24"/>
                <w:szCs w:val="24"/>
              </w:rPr>
            </w:pPr>
            <w:r>
              <w:rPr>
                <w:rFonts w:ascii="仿宋" w:hAnsi="仿宋" w:eastAsia="仿宋" w:cs="Times New Roman"/>
                <w:kern w:val="0"/>
                <w:sz w:val="24"/>
                <w:szCs w:val="24"/>
              </w:rPr>
              <w:t>1</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kern w:val="0"/>
                <w:sz w:val="24"/>
                <w:szCs w:val="24"/>
              </w:rPr>
            </w:pPr>
            <w:r>
              <w:rPr>
                <w:rFonts w:ascii="仿宋" w:hAnsi="仿宋" w:eastAsia="仿宋" w:cs="Times New Roman"/>
                <w:kern w:val="0"/>
                <w:sz w:val="24"/>
                <w:szCs w:val="24"/>
              </w:rPr>
              <w:t>19</w:t>
            </w:r>
            <w:r>
              <w:rPr>
                <w:rFonts w:hint="eastAsia" w:ascii="仿宋" w:hAnsi="仿宋" w:eastAsia="仿宋" w:cs="Times New Roman"/>
                <w:kern w:val="0"/>
                <w:sz w:val="24"/>
                <w:szCs w:val="24"/>
              </w:rPr>
              <w:t>.77</w:t>
            </w: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Times New Roman"/>
                <w:kern w:val="0"/>
                <w:sz w:val="24"/>
                <w:szCs w:val="24"/>
              </w:rPr>
            </w:pPr>
            <w:r>
              <w:rPr>
                <w:rFonts w:ascii="仿宋" w:hAnsi="仿宋" w:eastAsia="仿宋" w:cs="Times New Roman"/>
                <w:kern w:val="0"/>
                <w:sz w:val="24"/>
                <w:szCs w:val="24"/>
              </w:rPr>
              <w:t>3、单价在50万元以上的设备</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kern w:val="0"/>
                <w:sz w:val="24"/>
                <w:szCs w:val="24"/>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kern w:val="0"/>
                <w:sz w:val="24"/>
                <w:szCs w:val="24"/>
              </w:rPr>
            </w:pP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Times New Roman"/>
                <w:kern w:val="0"/>
                <w:sz w:val="24"/>
                <w:szCs w:val="24"/>
              </w:rPr>
            </w:pPr>
            <w:r>
              <w:rPr>
                <w:rFonts w:ascii="仿宋" w:hAnsi="仿宋" w:eastAsia="仿宋" w:cs="Times New Roman"/>
                <w:kern w:val="0"/>
                <w:sz w:val="24"/>
                <w:szCs w:val="24"/>
              </w:rPr>
              <w:t>4、其他固定资产</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kern w:val="0"/>
                <w:sz w:val="24"/>
                <w:szCs w:val="24"/>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78.6</w:t>
            </w:r>
          </w:p>
        </w:tc>
      </w:tr>
    </w:tbl>
    <w:p>
      <w:pPr>
        <w:autoSpaceDE w:val="0"/>
        <w:autoSpaceDN w:val="0"/>
        <w:adjustRightInd w:val="0"/>
        <w:ind w:left="198" w:firstLine="643" w:firstLineChars="200"/>
        <w:jc w:val="left"/>
        <w:rPr>
          <w:rFonts w:ascii="Times New Roman" w:hAnsi="Times New Roman" w:eastAsia="黑体" w:cs="Times New Roman"/>
          <w:b/>
          <w:sz w:val="32"/>
          <w:szCs w:val="32"/>
        </w:rPr>
      </w:pPr>
      <w:r>
        <w:rPr>
          <w:rFonts w:ascii="Times New Roman" w:hAnsi="Times New Roman" w:eastAsia="黑体" w:cs="Times New Roman"/>
          <w:b/>
          <w:sz w:val="32"/>
          <w:szCs w:val="32"/>
        </w:rPr>
        <w:t>八、名词解释</w:t>
      </w:r>
    </w:p>
    <w:p>
      <w:pPr>
        <w:tabs>
          <w:tab w:val="left" w:pos="11490"/>
        </w:tabs>
        <w:ind w:firstLine="643" w:firstLineChars="200"/>
        <w:rPr>
          <w:rFonts w:ascii="仿宋" w:hAnsi="仿宋" w:eastAsia="仿宋" w:cs="Times New Roman"/>
          <w:sz w:val="32"/>
          <w:szCs w:val="32"/>
        </w:rPr>
      </w:pPr>
      <w:r>
        <w:rPr>
          <w:rFonts w:ascii="仿宋" w:hAnsi="仿宋" w:eastAsia="仿宋" w:cs="Times New Roman"/>
          <w:b/>
          <w:sz w:val="32"/>
          <w:szCs w:val="32"/>
        </w:rPr>
        <w:t>1、一般公共预算拨款收入：</w:t>
      </w:r>
      <w:r>
        <w:rPr>
          <w:rFonts w:ascii="仿宋" w:hAnsi="仿宋" w:eastAsia="仿宋" w:cs="Times New Roman"/>
          <w:sz w:val="32"/>
          <w:szCs w:val="32"/>
        </w:rPr>
        <w:t>指</w:t>
      </w:r>
      <w:r>
        <w:rPr>
          <w:rFonts w:hint="eastAsia" w:ascii="仿宋" w:hAnsi="仿宋" w:eastAsia="仿宋" w:cs="Times New Roman"/>
          <w:sz w:val="32"/>
          <w:szCs w:val="32"/>
        </w:rPr>
        <w:t>县</w:t>
      </w:r>
      <w:r>
        <w:rPr>
          <w:rFonts w:ascii="仿宋" w:hAnsi="仿宋" w:eastAsia="仿宋" w:cs="Times New Roman"/>
          <w:sz w:val="32"/>
          <w:szCs w:val="32"/>
        </w:rPr>
        <w:t>级财政当年拨付的资金。</w:t>
      </w:r>
    </w:p>
    <w:p>
      <w:pPr>
        <w:tabs>
          <w:tab w:val="left" w:pos="11490"/>
        </w:tabs>
        <w:ind w:firstLine="643" w:firstLineChars="200"/>
        <w:rPr>
          <w:rFonts w:ascii="仿宋" w:hAnsi="仿宋" w:eastAsia="仿宋" w:cs="Times New Roman"/>
          <w:sz w:val="32"/>
          <w:szCs w:val="32"/>
        </w:rPr>
      </w:pPr>
      <w:r>
        <w:rPr>
          <w:rFonts w:ascii="仿宋" w:hAnsi="仿宋" w:eastAsia="仿宋" w:cs="Times New Roman"/>
          <w:b/>
          <w:sz w:val="32"/>
          <w:szCs w:val="32"/>
        </w:rPr>
        <w:t>2、事业收入：</w:t>
      </w:r>
      <w:r>
        <w:rPr>
          <w:rFonts w:ascii="仿宋" w:hAnsi="仿宋" w:eastAsia="仿宋" w:cs="Times New Roman"/>
          <w:sz w:val="32"/>
          <w:szCs w:val="32"/>
        </w:rPr>
        <w:t>指事业单位开展专业业务活动及辅助活动所取得的收入。</w:t>
      </w:r>
    </w:p>
    <w:p>
      <w:pPr>
        <w:tabs>
          <w:tab w:val="left" w:pos="11490"/>
        </w:tabs>
        <w:ind w:firstLine="643" w:firstLineChars="200"/>
        <w:rPr>
          <w:rFonts w:ascii="仿宋" w:hAnsi="仿宋" w:eastAsia="仿宋" w:cs="Times New Roman"/>
          <w:sz w:val="32"/>
          <w:szCs w:val="32"/>
        </w:rPr>
      </w:pPr>
      <w:r>
        <w:rPr>
          <w:rFonts w:ascii="仿宋" w:hAnsi="仿宋" w:eastAsia="仿宋" w:cs="Times New Roman"/>
          <w:b/>
          <w:sz w:val="32"/>
          <w:szCs w:val="32"/>
        </w:rPr>
        <w:t>3、基本支出：</w:t>
      </w:r>
      <w:r>
        <w:rPr>
          <w:rFonts w:ascii="仿宋" w:hAnsi="仿宋" w:eastAsia="仿宋" w:cs="Times New Roman"/>
          <w:sz w:val="32"/>
          <w:szCs w:val="32"/>
        </w:rPr>
        <w:t>指为保障机构正常运转、完成日常工作任务而发生的人员支出和公用支出。</w:t>
      </w:r>
    </w:p>
    <w:p>
      <w:pPr>
        <w:tabs>
          <w:tab w:val="left" w:pos="11490"/>
        </w:tabs>
        <w:ind w:firstLine="643" w:firstLineChars="200"/>
        <w:rPr>
          <w:rFonts w:ascii="仿宋" w:hAnsi="仿宋" w:eastAsia="仿宋" w:cs="Times New Roman"/>
          <w:sz w:val="32"/>
          <w:szCs w:val="32"/>
        </w:rPr>
      </w:pPr>
      <w:r>
        <w:rPr>
          <w:rFonts w:ascii="仿宋" w:hAnsi="仿宋" w:eastAsia="仿宋" w:cs="Times New Roman"/>
          <w:b/>
          <w:sz w:val="32"/>
          <w:szCs w:val="32"/>
        </w:rPr>
        <w:t>4、项目支出：</w:t>
      </w:r>
      <w:r>
        <w:rPr>
          <w:rFonts w:ascii="仿宋" w:hAnsi="仿宋" w:eastAsia="仿宋" w:cs="Times New Roman"/>
          <w:sz w:val="32"/>
          <w:szCs w:val="32"/>
        </w:rPr>
        <w:t>指在基本支出之外为完成特定行政任务和事业发展目标所发生的支出。</w:t>
      </w:r>
    </w:p>
    <w:p>
      <w:pPr>
        <w:tabs>
          <w:tab w:val="left" w:pos="11490"/>
        </w:tabs>
        <w:ind w:firstLine="643" w:firstLineChars="200"/>
        <w:rPr>
          <w:rFonts w:ascii="仿宋" w:hAnsi="仿宋" w:eastAsia="仿宋" w:cs="Times New Roman"/>
          <w:sz w:val="32"/>
          <w:szCs w:val="32"/>
        </w:rPr>
      </w:pPr>
      <w:r>
        <w:rPr>
          <w:rFonts w:ascii="仿宋" w:hAnsi="仿宋" w:eastAsia="仿宋" w:cs="Times New Roman"/>
          <w:b/>
          <w:sz w:val="32"/>
          <w:szCs w:val="32"/>
        </w:rPr>
        <w:t>5、“三公”经费：</w:t>
      </w:r>
      <w:r>
        <w:rPr>
          <w:rFonts w:ascii="仿宋" w:hAnsi="仿宋" w:eastAsia="仿宋" w:cs="Times New Roman"/>
          <w:sz w:val="32"/>
          <w:szCs w:val="32"/>
        </w:rPr>
        <w:t>纳入</w:t>
      </w:r>
      <w:r>
        <w:rPr>
          <w:rFonts w:hint="eastAsia" w:ascii="仿宋" w:hAnsi="仿宋" w:eastAsia="仿宋" w:cs="Times New Roman"/>
          <w:sz w:val="32"/>
          <w:szCs w:val="32"/>
        </w:rPr>
        <w:t>县</w:t>
      </w:r>
      <w:r>
        <w:rPr>
          <w:rFonts w:ascii="仿宋" w:hAnsi="仿宋" w:eastAsia="仿宋" w:cs="Times New Roman"/>
          <w:sz w:val="32"/>
          <w:szCs w:val="32"/>
        </w:rPr>
        <w:t>级财政预算管理的“三公”经费，是指</w:t>
      </w:r>
      <w:r>
        <w:rPr>
          <w:rFonts w:hint="eastAsia" w:ascii="仿宋" w:hAnsi="仿宋" w:eastAsia="仿宋" w:cs="Times New Roman"/>
          <w:sz w:val="32"/>
          <w:szCs w:val="32"/>
        </w:rPr>
        <w:t>县</w:t>
      </w:r>
      <w:r>
        <w:rPr>
          <w:rFonts w:ascii="仿宋" w:hAnsi="仿宋" w:eastAsia="仿宋"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 w:hAnsi="仿宋" w:eastAsia="仿宋" w:cs="Times New Roman"/>
          <w:sz w:val="32"/>
          <w:szCs w:val="32"/>
        </w:rPr>
      </w:pPr>
      <w:r>
        <w:rPr>
          <w:rFonts w:ascii="仿宋" w:hAnsi="仿宋" w:eastAsia="仿宋" w:cs="Times New Roman"/>
          <w:b/>
          <w:sz w:val="32"/>
          <w:szCs w:val="32"/>
        </w:rPr>
        <w:t>6、机关运行费：</w:t>
      </w:r>
      <w:r>
        <w:rPr>
          <w:rFonts w:ascii="仿宋" w:hAnsi="仿宋" w:eastAsia="仿宋" w:cs="Times New Roman"/>
          <w:sz w:val="32"/>
          <w:szCs w:val="32"/>
        </w:rPr>
        <w:t>是指各部门的公用经费，包括办公费、印刷费、咨询费、手续费、电费、差旅费、维修费、租赁费、会议费、公务接待费、劳务费、工会经费、福利费、一般设备购置费、公务用车运行维护费以及其他费用等</w:t>
      </w:r>
    </w:p>
    <w:p>
      <w:pPr>
        <w:tabs>
          <w:tab w:val="left" w:pos="11490"/>
        </w:tabs>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九、其他需要说明的事项</w:t>
      </w:r>
    </w:p>
    <w:p>
      <w:pPr>
        <w:tabs>
          <w:tab w:val="left" w:pos="11490"/>
        </w:tabs>
        <w:ind w:firstLine="640" w:firstLineChars="200"/>
        <w:rPr>
          <w:rFonts w:ascii="仿宋" w:hAnsi="仿宋" w:eastAsia="仿宋" w:cs="Times New Roman"/>
          <w:sz w:val="32"/>
          <w:szCs w:val="32"/>
        </w:rPr>
      </w:pPr>
      <w:r>
        <w:rPr>
          <w:rFonts w:ascii="仿宋" w:hAnsi="仿宋" w:eastAsia="仿宋" w:cs="Times New Roman"/>
          <w:sz w:val="32"/>
          <w:szCs w:val="32"/>
        </w:rPr>
        <w:t>1、</w:t>
      </w:r>
      <w:r>
        <w:rPr>
          <w:rFonts w:ascii="仿宋" w:hAnsi="仿宋" w:eastAsia="仿宋"/>
          <w:sz w:val="32"/>
          <w:szCs w:val="32"/>
        </w:rPr>
        <w:t>我部门</w:t>
      </w:r>
      <w:r>
        <w:rPr>
          <w:rFonts w:hint="eastAsia" w:ascii="仿宋" w:hAnsi="仿宋" w:eastAsia="仿宋"/>
          <w:sz w:val="32"/>
          <w:szCs w:val="32"/>
        </w:rPr>
        <w:t>无</w:t>
      </w:r>
      <w:r>
        <w:rPr>
          <w:rFonts w:ascii="仿宋" w:hAnsi="仿宋" w:eastAsia="仿宋"/>
          <w:sz w:val="32"/>
          <w:szCs w:val="32"/>
        </w:rPr>
        <w:t>政府性基金预算，</w:t>
      </w:r>
      <w:r>
        <w:rPr>
          <w:rFonts w:hint="eastAsia" w:ascii="仿宋" w:hAnsi="仿宋" w:eastAsia="仿宋"/>
          <w:sz w:val="32"/>
          <w:szCs w:val="32"/>
        </w:rPr>
        <w:t>《政府基金预算财政拨款支出表》为空表列示</w:t>
      </w:r>
      <w:r>
        <w:rPr>
          <w:rFonts w:ascii="仿宋" w:hAnsi="仿宋" w:eastAsia="仿宋"/>
          <w:sz w:val="32"/>
          <w:szCs w:val="32"/>
        </w:rPr>
        <w:t>。</w:t>
      </w:r>
    </w:p>
    <w:p>
      <w:pPr>
        <w:tabs>
          <w:tab w:val="left" w:pos="11490"/>
        </w:tabs>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我部门无国有资本经营预算，《国有资本经营预算财政拨款支出表》为空表列示。</w:t>
      </w:r>
    </w:p>
    <w:p>
      <w:pPr>
        <w:tabs>
          <w:tab w:val="left" w:pos="11490"/>
        </w:tabs>
        <w:ind w:firstLine="643" w:firstLineChars="200"/>
        <w:rPr>
          <w:rFonts w:hint="eastAsia" w:ascii="黑体" w:hAnsi="黑体" w:eastAsia="黑体" w:cs="黑体"/>
          <w:b/>
          <w:bCs/>
          <w:sz w:val="32"/>
          <w:szCs w:val="32"/>
        </w:rPr>
      </w:pPr>
      <w:bookmarkStart w:id="3" w:name="_GoBack"/>
      <w:r>
        <w:rPr>
          <w:rFonts w:hint="eastAsia" w:ascii="黑体" w:hAnsi="黑体" w:eastAsia="黑体" w:cs="黑体"/>
          <w:b/>
          <w:bCs/>
          <w:sz w:val="32"/>
          <w:szCs w:val="32"/>
        </w:rPr>
        <w:t>十、预算批准日为2019年</w:t>
      </w:r>
      <w:r>
        <w:rPr>
          <w:rFonts w:hint="eastAsia" w:ascii="黑体" w:hAnsi="黑体" w:eastAsia="黑体" w:cs="黑体"/>
          <w:b/>
          <w:bCs/>
          <w:sz w:val="32"/>
          <w:szCs w:val="32"/>
          <w:lang w:val="en-US" w:eastAsia="zh-CN"/>
        </w:rPr>
        <w:t>1</w:t>
      </w:r>
      <w:r>
        <w:rPr>
          <w:rFonts w:hint="eastAsia" w:ascii="黑体" w:hAnsi="黑体" w:eastAsia="黑体" w:cs="黑体"/>
          <w:b/>
          <w:bCs/>
          <w:sz w:val="32"/>
          <w:szCs w:val="32"/>
        </w:rPr>
        <w:t>月</w:t>
      </w:r>
      <w:r>
        <w:rPr>
          <w:rFonts w:hint="eastAsia" w:ascii="黑体" w:hAnsi="黑体" w:eastAsia="黑体" w:cs="黑体"/>
          <w:b/>
          <w:bCs/>
          <w:sz w:val="32"/>
          <w:szCs w:val="32"/>
          <w:lang w:val="en-US" w:eastAsia="zh-CN"/>
        </w:rPr>
        <w:t>24</w:t>
      </w:r>
      <w:r>
        <w:rPr>
          <w:rFonts w:hint="eastAsia" w:ascii="黑体" w:hAnsi="黑体" w:eastAsia="黑体" w:cs="黑体"/>
          <w:b/>
          <w:bCs/>
          <w:sz w:val="32"/>
          <w:szCs w:val="32"/>
        </w:rPr>
        <w:t>日，批复文件文号丰财预</w:t>
      </w:r>
      <w:r>
        <w:rPr>
          <w:rFonts w:hint="eastAsia" w:ascii="黑体" w:hAnsi="黑体" w:eastAsia="黑体" w:cs="黑体"/>
          <w:b/>
          <w:bCs/>
          <w:sz w:val="32"/>
          <w:szCs w:val="32"/>
          <w:lang w:val="en-US" w:eastAsia="zh-CN"/>
        </w:rPr>
        <w:t>[</w:t>
      </w:r>
      <w:r>
        <w:rPr>
          <w:rFonts w:hint="eastAsia" w:ascii="黑体" w:hAnsi="黑体" w:eastAsia="黑体" w:cs="黑体"/>
          <w:b/>
          <w:bCs/>
          <w:sz w:val="32"/>
          <w:szCs w:val="32"/>
        </w:rPr>
        <w:t>2019</w:t>
      </w:r>
      <w:r>
        <w:rPr>
          <w:rFonts w:hint="eastAsia" w:ascii="黑体" w:hAnsi="黑体" w:eastAsia="黑体" w:cs="黑体"/>
          <w:b/>
          <w:bCs/>
          <w:sz w:val="32"/>
          <w:szCs w:val="32"/>
          <w:lang w:val="en-US" w:eastAsia="zh-CN"/>
        </w:rPr>
        <w:t>]60</w:t>
      </w:r>
      <w:r>
        <w:rPr>
          <w:rFonts w:hint="eastAsia" w:ascii="黑体" w:hAnsi="黑体" w:eastAsia="黑体" w:cs="黑体"/>
          <w:b/>
          <w:bCs/>
          <w:sz w:val="32"/>
          <w:szCs w:val="32"/>
        </w:rPr>
        <w:t>号。</w:t>
      </w:r>
    </w:p>
    <w:bookmarkEnd w:id="3"/>
    <w:p>
      <w:pPr>
        <w:tabs>
          <w:tab w:val="left" w:pos="11490"/>
        </w:tabs>
        <w:ind w:firstLine="640" w:firstLineChars="200"/>
        <w:rPr>
          <w:rFonts w:ascii="Times New Roman" w:hAnsi="Times New Roman" w:eastAsia="方正仿宋_GBK" w:cs="Times New Roman"/>
          <w:sz w:val="32"/>
          <w:szCs w:val="32"/>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547527"/>
    </w:sdtPr>
    <w:sdtContent>
      <w:p>
        <w:pPr>
          <w:pStyle w:val="3"/>
          <w:jc w:val="center"/>
        </w:pPr>
        <w:r>
          <w:fldChar w:fldCharType="begin"/>
        </w:r>
        <w:r>
          <w:instrText xml:space="preserve">PAGE   \* MERGEFORMAT</w:instrText>
        </w:r>
        <w:r>
          <w:fldChar w:fldCharType="separate"/>
        </w:r>
        <w:r>
          <w:rPr>
            <w:lang w:val="zh-CN"/>
          </w:rPr>
          <w:t>14</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AD425"/>
    <w:multiLevelType w:val="singleLevel"/>
    <w:tmpl w:val="647AD425"/>
    <w:lvl w:ilvl="0" w:tentative="0">
      <w:start w:val="1"/>
      <w:numFmt w:val="decimal"/>
      <w:suff w:val="nothing"/>
      <w:lvlText w:val="（%1）"/>
      <w:lvlJc w:val="left"/>
    </w:lvl>
  </w:abstractNum>
  <w:abstractNum w:abstractNumId="1">
    <w:nsid w:val="7120355B"/>
    <w:multiLevelType w:val="multilevel"/>
    <w:tmpl w:val="7120355B"/>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09C3"/>
    <w:rsid w:val="00027B99"/>
    <w:rsid w:val="000358DB"/>
    <w:rsid w:val="00037AF6"/>
    <w:rsid w:val="0005075C"/>
    <w:rsid w:val="00055E36"/>
    <w:rsid w:val="000756EF"/>
    <w:rsid w:val="00075D5F"/>
    <w:rsid w:val="00086EA1"/>
    <w:rsid w:val="00097DB9"/>
    <w:rsid w:val="000A78C4"/>
    <w:rsid w:val="000B529B"/>
    <w:rsid w:val="000B75EB"/>
    <w:rsid w:val="000C3A19"/>
    <w:rsid w:val="000E0015"/>
    <w:rsid w:val="000F6C1C"/>
    <w:rsid w:val="001010D1"/>
    <w:rsid w:val="0010212C"/>
    <w:rsid w:val="00116D7F"/>
    <w:rsid w:val="001245BB"/>
    <w:rsid w:val="001251A3"/>
    <w:rsid w:val="001329CD"/>
    <w:rsid w:val="00147BEA"/>
    <w:rsid w:val="00154A94"/>
    <w:rsid w:val="00157FF3"/>
    <w:rsid w:val="00196A70"/>
    <w:rsid w:val="001A3F4C"/>
    <w:rsid w:val="001B73B9"/>
    <w:rsid w:val="001D2094"/>
    <w:rsid w:val="001F7873"/>
    <w:rsid w:val="00222F64"/>
    <w:rsid w:val="00241FD4"/>
    <w:rsid w:val="00244BC0"/>
    <w:rsid w:val="00251B12"/>
    <w:rsid w:val="00266027"/>
    <w:rsid w:val="00293A59"/>
    <w:rsid w:val="00296113"/>
    <w:rsid w:val="002A0F8A"/>
    <w:rsid w:val="002A202C"/>
    <w:rsid w:val="002A673A"/>
    <w:rsid w:val="002A7D60"/>
    <w:rsid w:val="002B50CD"/>
    <w:rsid w:val="002C5E13"/>
    <w:rsid w:val="002C62BC"/>
    <w:rsid w:val="002C6420"/>
    <w:rsid w:val="002C7435"/>
    <w:rsid w:val="002E0EB8"/>
    <w:rsid w:val="002F3E58"/>
    <w:rsid w:val="00302F50"/>
    <w:rsid w:val="0030542C"/>
    <w:rsid w:val="00311B7A"/>
    <w:rsid w:val="00313346"/>
    <w:rsid w:val="00344250"/>
    <w:rsid w:val="00367C23"/>
    <w:rsid w:val="003831A4"/>
    <w:rsid w:val="00391FBF"/>
    <w:rsid w:val="003A613E"/>
    <w:rsid w:val="003B3EDA"/>
    <w:rsid w:val="004168F6"/>
    <w:rsid w:val="00424943"/>
    <w:rsid w:val="0043175C"/>
    <w:rsid w:val="00437296"/>
    <w:rsid w:val="00451590"/>
    <w:rsid w:val="00451871"/>
    <w:rsid w:val="00457F66"/>
    <w:rsid w:val="004607B7"/>
    <w:rsid w:val="004611DE"/>
    <w:rsid w:val="004706DE"/>
    <w:rsid w:val="004724F3"/>
    <w:rsid w:val="00472923"/>
    <w:rsid w:val="00477E85"/>
    <w:rsid w:val="004A2471"/>
    <w:rsid w:val="004B0C3A"/>
    <w:rsid w:val="004D5788"/>
    <w:rsid w:val="004E3066"/>
    <w:rsid w:val="004E74CD"/>
    <w:rsid w:val="0051665E"/>
    <w:rsid w:val="005309F2"/>
    <w:rsid w:val="00535309"/>
    <w:rsid w:val="0053690C"/>
    <w:rsid w:val="0054029F"/>
    <w:rsid w:val="00550813"/>
    <w:rsid w:val="00555AE0"/>
    <w:rsid w:val="00555DD0"/>
    <w:rsid w:val="0056270C"/>
    <w:rsid w:val="00570470"/>
    <w:rsid w:val="00572067"/>
    <w:rsid w:val="00573562"/>
    <w:rsid w:val="00575550"/>
    <w:rsid w:val="00581034"/>
    <w:rsid w:val="00583586"/>
    <w:rsid w:val="00590ECE"/>
    <w:rsid w:val="005C0A9E"/>
    <w:rsid w:val="005C1631"/>
    <w:rsid w:val="005D2903"/>
    <w:rsid w:val="005F0EDD"/>
    <w:rsid w:val="006050E1"/>
    <w:rsid w:val="006072BA"/>
    <w:rsid w:val="00613DEA"/>
    <w:rsid w:val="00614A29"/>
    <w:rsid w:val="00632255"/>
    <w:rsid w:val="0064379E"/>
    <w:rsid w:val="00673B93"/>
    <w:rsid w:val="00673D76"/>
    <w:rsid w:val="00681277"/>
    <w:rsid w:val="006854F0"/>
    <w:rsid w:val="0069278F"/>
    <w:rsid w:val="0069538F"/>
    <w:rsid w:val="00695902"/>
    <w:rsid w:val="006A6BC1"/>
    <w:rsid w:val="006B06D2"/>
    <w:rsid w:val="006B1C4A"/>
    <w:rsid w:val="006B610D"/>
    <w:rsid w:val="006D014F"/>
    <w:rsid w:val="006D06A9"/>
    <w:rsid w:val="006D72BA"/>
    <w:rsid w:val="006E49F5"/>
    <w:rsid w:val="006E51EC"/>
    <w:rsid w:val="006F109E"/>
    <w:rsid w:val="006F32D0"/>
    <w:rsid w:val="007013C8"/>
    <w:rsid w:val="00704F3B"/>
    <w:rsid w:val="007135F8"/>
    <w:rsid w:val="007252F4"/>
    <w:rsid w:val="007471F9"/>
    <w:rsid w:val="007515B0"/>
    <w:rsid w:val="00753836"/>
    <w:rsid w:val="0075393C"/>
    <w:rsid w:val="00754592"/>
    <w:rsid w:val="00776C08"/>
    <w:rsid w:val="007A27F4"/>
    <w:rsid w:val="007B5EFE"/>
    <w:rsid w:val="007C219A"/>
    <w:rsid w:val="007E1DA8"/>
    <w:rsid w:val="007F375A"/>
    <w:rsid w:val="007F4043"/>
    <w:rsid w:val="007F6C26"/>
    <w:rsid w:val="00813208"/>
    <w:rsid w:val="008334AE"/>
    <w:rsid w:val="008369F6"/>
    <w:rsid w:val="00836FED"/>
    <w:rsid w:val="0083724E"/>
    <w:rsid w:val="00845271"/>
    <w:rsid w:val="00845CD2"/>
    <w:rsid w:val="00852B0D"/>
    <w:rsid w:val="00854B0F"/>
    <w:rsid w:val="008618EB"/>
    <w:rsid w:val="00867334"/>
    <w:rsid w:val="00881183"/>
    <w:rsid w:val="00881692"/>
    <w:rsid w:val="00897317"/>
    <w:rsid w:val="008A4C6C"/>
    <w:rsid w:val="008A6576"/>
    <w:rsid w:val="008B3CC5"/>
    <w:rsid w:val="008B52CD"/>
    <w:rsid w:val="008C6ED0"/>
    <w:rsid w:val="008E4261"/>
    <w:rsid w:val="008F4662"/>
    <w:rsid w:val="009039E5"/>
    <w:rsid w:val="00905D08"/>
    <w:rsid w:val="00911D8F"/>
    <w:rsid w:val="009208B5"/>
    <w:rsid w:val="0092177D"/>
    <w:rsid w:val="00925753"/>
    <w:rsid w:val="00940775"/>
    <w:rsid w:val="009425F4"/>
    <w:rsid w:val="009579C1"/>
    <w:rsid w:val="00966C5C"/>
    <w:rsid w:val="00973104"/>
    <w:rsid w:val="00982161"/>
    <w:rsid w:val="0098793C"/>
    <w:rsid w:val="00993FC8"/>
    <w:rsid w:val="0099528E"/>
    <w:rsid w:val="00995BF0"/>
    <w:rsid w:val="009A16D5"/>
    <w:rsid w:val="009A353D"/>
    <w:rsid w:val="009A4D14"/>
    <w:rsid w:val="009B0128"/>
    <w:rsid w:val="009B0B77"/>
    <w:rsid w:val="009B40E6"/>
    <w:rsid w:val="009B511E"/>
    <w:rsid w:val="009D0E6B"/>
    <w:rsid w:val="009D3794"/>
    <w:rsid w:val="00A00E71"/>
    <w:rsid w:val="00A02240"/>
    <w:rsid w:val="00A3458E"/>
    <w:rsid w:val="00A44E3D"/>
    <w:rsid w:val="00A72D2E"/>
    <w:rsid w:val="00A74447"/>
    <w:rsid w:val="00A746A2"/>
    <w:rsid w:val="00A74CE5"/>
    <w:rsid w:val="00A87F64"/>
    <w:rsid w:val="00A911E7"/>
    <w:rsid w:val="00A939D9"/>
    <w:rsid w:val="00AA54A0"/>
    <w:rsid w:val="00AB21C5"/>
    <w:rsid w:val="00AB3220"/>
    <w:rsid w:val="00AD4967"/>
    <w:rsid w:val="00AD7316"/>
    <w:rsid w:val="00B16644"/>
    <w:rsid w:val="00B16D42"/>
    <w:rsid w:val="00B20712"/>
    <w:rsid w:val="00B35CC5"/>
    <w:rsid w:val="00B43238"/>
    <w:rsid w:val="00B45DD3"/>
    <w:rsid w:val="00B46377"/>
    <w:rsid w:val="00B5556E"/>
    <w:rsid w:val="00B56474"/>
    <w:rsid w:val="00B67AA6"/>
    <w:rsid w:val="00B75216"/>
    <w:rsid w:val="00B91D52"/>
    <w:rsid w:val="00B9477E"/>
    <w:rsid w:val="00B9490F"/>
    <w:rsid w:val="00BA0962"/>
    <w:rsid w:val="00BA1ACD"/>
    <w:rsid w:val="00BA506A"/>
    <w:rsid w:val="00BA5DAF"/>
    <w:rsid w:val="00BC4407"/>
    <w:rsid w:val="00BC6015"/>
    <w:rsid w:val="00BD09F8"/>
    <w:rsid w:val="00C01185"/>
    <w:rsid w:val="00C26A8D"/>
    <w:rsid w:val="00C325C8"/>
    <w:rsid w:val="00C41F80"/>
    <w:rsid w:val="00C66DEB"/>
    <w:rsid w:val="00C735DE"/>
    <w:rsid w:val="00C822BB"/>
    <w:rsid w:val="00C83623"/>
    <w:rsid w:val="00C8710C"/>
    <w:rsid w:val="00C87ADB"/>
    <w:rsid w:val="00C92D49"/>
    <w:rsid w:val="00CA08B2"/>
    <w:rsid w:val="00CA7176"/>
    <w:rsid w:val="00CB1CB7"/>
    <w:rsid w:val="00CB2A40"/>
    <w:rsid w:val="00CB5852"/>
    <w:rsid w:val="00CB5BE7"/>
    <w:rsid w:val="00CC75B0"/>
    <w:rsid w:val="00CD2773"/>
    <w:rsid w:val="00CD37AC"/>
    <w:rsid w:val="00CE143B"/>
    <w:rsid w:val="00CE380F"/>
    <w:rsid w:val="00CE7CCC"/>
    <w:rsid w:val="00D27003"/>
    <w:rsid w:val="00D44D08"/>
    <w:rsid w:val="00D47597"/>
    <w:rsid w:val="00D52A41"/>
    <w:rsid w:val="00D772F1"/>
    <w:rsid w:val="00D779C4"/>
    <w:rsid w:val="00D92E40"/>
    <w:rsid w:val="00D931FD"/>
    <w:rsid w:val="00DB1C60"/>
    <w:rsid w:val="00DD32DF"/>
    <w:rsid w:val="00DE60A3"/>
    <w:rsid w:val="00E0375C"/>
    <w:rsid w:val="00E167C7"/>
    <w:rsid w:val="00E177E8"/>
    <w:rsid w:val="00E32DED"/>
    <w:rsid w:val="00E53724"/>
    <w:rsid w:val="00E60B3B"/>
    <w:rsid w:val="00E711D2"/>
    <w:rsid w:val="00E75DEC"/>
    <w:rsid w:val="00E76A78"/>
    <w:rsid w:val="00E8404B"/>
    <w:rsid w:val="00E93430"/>
    <w:rsid w:val="00EC099D"/>
    <w:rsid w:val="00EC2D72"/>
    <w:rsid w:val="00EC47F6"/>
    <w:rsid w:val="00EC4F2D"/>
    <w:rsid w:val="00EE1ACD"/>
    <w:rsid w:val="00EE27E3"/>
    <w:rsid w:val="00F050C6"/>
    <w:rsid w:val="00F10904"/>
    <w:rsid w:val="00F17BC1"/>
    <w:rsid w:val="00F20870"/>
    <w:rsid w:val="00F474D2"/>
    <w:rsid w:val="00F52B18"/>
    <w:rsid w:val="00F641BA"/>
    <w:rsid w:val="00F66032"/>
    <w:rsid w:val="00F676B6"/>
    <w:rsid w:val="00F73505"/>
    <w:rsid w:val="00F86CF7"/>
    <w:rsid w:val="00F86E7C"/>
    <w:rsid w:val="00F87C1E"/>
    <w:rsid w:val="00F958C2"/>
    <w:rsid w:val="00F978B2"/>
    <w:rsid w:val="00FB0031"/>
    <w:rsid w:val="00FB5E28"/>
    <w:rsid w:val="00FB612E"/>
    <w:rsid w:val="00FB6467"/>
    <w:rsid w:val="00FE04CD"/>
    <w:rsid w:val="00FF0A22"/>
    <w:rsid w:val="00FF4634"/>
    <w:rsid w:val="00FF5267"/>
    <w:rsid w:val="01737FC9"/>
    <w:rsid w:val="01F70302"/>
    <w:rsid w:val="0DED4925"/>
    <w:rsid w:val="1286749C"/>
    <w:rsid w:val="439F3FA8"/>
    <w:rsid w:val="49786F94"/>
    <w:rsid w:val="5555475E"/>
    <w:rsid w:val="7C2630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7"/>
    <w:semiHidden/>
    <w:unhideWhenUsed/>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9">
    <w:name w:val="Hyperlink"/>
    <w:unhideWhenUsed/>
    <w:uiPriority w:val="99"/>
    <w:rPr>
      <w:color w:val="0000FF"/>
      <w:u w:val="single"/>
    </w:rPr>
  </w:style>
  <w:style w:type="character" w:styleId="10">
    <w:name w:val="footnote reference"/>
    <w:basedOn w:val="8"/>
    <w:semiHidden/>
    <w:unhideWhenUsed/>
    <w:uiPriority w:val="99"/>
    <w:rPr>
      <w:vertAlign w:val="superscript"/>
    </w:rPr>
  </w:style>
  <w:style w:type="character" w:customStyle="1" w:styleId="12">
    <w:name w:val="页眉 Char"/>
    <w:basedOn w:val="8"/>
    <w:link w:val="4"/>
    <w:qFormat/>
    <w:uiPriority w:val="99"/>
    <w:rPr>
      <w:rFonts w:ascii="Times New Roman" w:hAnsi="Times New Roman" w:eastAsia="宋体" w:cs="Times New Roman"/>
      <w:sz w:val="18"/>
      <w:szCs w:val="18"/>
    </w:rPr>
  </w:style>
  <w:style w:type="character" w:customStyle="1" w:styleId="13">
    <w:name w:val="页脚 Char"/>
    <w:basedOn w:val="8"/>
    <w:link w:val="3"/>
    <w:uiPriority w:val="99"/>
    <w:rPr>
      <w:rFonts w:ascii="Times New Roman" w:hAnsi="Times New Roman" w:eastAsia="宋体" w:cs="Times New Roman"/>
      <w:sz w:val="18"/>
      <w:szCs w:val="18"/>
    </w:rPr>
  </w:style>
  <w:style w:type="character" w:customStyle="1" w:styleId="14">
    <w:name w:val="批注框文本 Char"/>
    <w:basedOn w:val="8"/>
    <w:link w:val="2"/>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6">
    <w:name w:val="正文文本 + 粗体"/>
    <w:basedOn w:val="8"/>
    <w:uiPriority w:val="0"/>
    <w:rPr>
      <w:b/>
      <w:bCs/>
    </w:rPr>
  </w:style>
  <w:style w:type="character" w:customStyle="1" w:styleId="17">
    <w:name w:val="脚注文本 Char"/>
    <w:basedOn w:val="8"/>
    <w:link w:val="6"/>
    <w:semiHidden/>
    <w:uiPriority w:val="99"/>
    <w:rPr>
      <w:rFonts w:ascii="Calibri" w:hAnsi="Calibri" w:eastAsia="宋体" w:cs="Times New Roman"/>
      <w:kern w:val="2"/>
      <w:sz w:val="18"/>
      <w:szCs w:val="18"/>
    </w:rPr>
  </w:style>
  <w:style w:type="paragraph" w:styleId="1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93D0B9-4773-4856-AB77-38D747AC8DC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1048</Words>
  <Characters>5978</Characters>
  <Lines>49</Lines>
  <Paragraphs>14</Paragraphs>
  <TotalTime>0</TotalTime>
  <ScaleCrop>false</ScaleCrop>
  <LinksUpToDate>false</LinksUpToDate>
  <CharactersWithSpaces>7012</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2017-01-13T03:22:00Z</dcterms:created>
  <dc:creator>guest</dc:creator>
  <cp:lastModifiedBy>Administrator</cp:lastModifiedBy>
  <cp:lastPrinted>2017-11-09T01:12:00Z</cp:lastPrinted>
  <dcterms:modified xsi:type="dcterms:W3CDTF">2019-01-25T05:59:09Z</dcterms:modified>
  <cp:revision>589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